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94" w:rsidRPr="00255E17" w:rsidRDefault="00A77822" w:rsidP="00A36694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255E17">
        <w:rPr>
          <w:rFonts w:ascii="Arial" w:hAnsi="Arial" w:cs="Arial"/>
          <w:b/>
          <w:color w:val="000000" w:themeColor="text1"/>
          <w:sz w:val="40"/>
          <w:szCs w:val="40"/>
        </w:rPr>
        <w:t>W</w:t>
      </w:r>
      <w:r w:rsidR="007961FA" w:rsidRPr="00255E17">
        <w:rPr>
          <w:rFonts w:ascii="Arial" w:hAnsi="Arial" w:cs="Arial"/>
          <w:b/>
          <w:color w:val="000000" w:themeColor="text1"/>
          <w:sz w:val="40"/>
          <w:szCs w:val="40"/>
        </w:rPr>
        <w:t>ykaz</w:t>
      </w:r>
      <w:r w:rsidRPr="00255E17">
        <w:rPr>
          <w:rFonts w:ascii="Arial" w:hAnsi="Arial" w:cs="Arial"/>
          <w:b/>
          <w:color w:val="000000" w:themeColor="text1"/>
          <w:sz w:val="40"/>
          <w:szCs w:val="40"/>
        </w:rPr>
        <w:t xml:space="preserve"> wymaganych</w:t>
      </w:r>
      <w:r w:rsidR="007961FA" w:rsidRPr="00255E17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255E17">
        <w:rPr>
          <w:rFonts w:ascii="Arial" w:hAnsi="Arial" w:cs="Arial"/>
          <w:b/>
          <w:color w:val="000000" w:themeColor="text1"/>
          <w:sz w:val="40"/>
          <w:szCs w:val="40"/>
        </w:rPr>
        <w:t>parametrów</w:t>
      </w:r>
      <w:r w:rsidR="007961FA" w:rsidRPr="00255E17">
        <w:rPr>
          <w:rFonts w:ascii="Arial" w:hAnsi="Arial" w:cs="Arial"/>
          <w:b/>
          <w:color w:val="000000" w:themeColor="text1"/>
          <w:sz w:val="40"/>
          <w:szCs w:val="40"/>
        </w:rPr>
        <w:t xml:space="preserve"> urządze</w:t>
      </w:r>
      <w:bookmarkStart w:id="0" w:name="_GoBack"/>
      <w:bookmarkEnd w:id="0"/>
      <w:r w:rsidR="007961FA" w:rsidRPr="00255E17">
        <w:rPr>
          <w:rFonts w:ascii="Arial" w:hAnsi="Arial" w:cs="Arial"/>
          <w:b/>
          <w:color w:val="000000" w:themeColor="text1"/>
          <w:sz w:val="40"/>
          <w:szCs w:val="40"/>
        </w:rPr>
        <w:t xml:space="preserve">ń </w:t>
      </w:r>
    </w:p>
    <w:p w:rsidR="00DB5080" w:rsidRPr="00255E17" w:rsidRDefault="007961FA" w:rsidP="00A36694">
      <w:pPr>
        <w:jc w:val="center"/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Serwer do obsługi AD, ERP i inn</w:t>
      </w:r>
      <w:r w:rsidR="00A36694" w:rsidRPr="00255E17">
        <w:rPr>
          <w:rFonts w:ascii="Arial" w:hAnsi="Arial" w:cs="Arial"/>
          <w:b/>
          <w:color w:val="000000" w:themeColor="text1"/>
          <w:sz w:val="24"/>
          <w:szCs w:val="24"/>
        </w:rPr>
        <w:t>ych</w:t>
      </w: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961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7110"/>
      </w:tblGrid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2E7261">
            <w:pPr>
              <w:tabs>
                <w:tab w:val="left" w:pos="5160"/>
              </w:tabs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  <w:r w:rsidR="002E7261">
              <w:rPr>
                <w:rFonts w:cs="Calibri"/>
                <w:b/>
                <w:color w:val="000000" w:themeColor="text1"/>
                <w:sz w:val="24"/>
                <w:szCs w:val="24"/>
              </w:rPr>
              <w:tab/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bez wyłączania urządzenia).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zamykany, zdejmowany panel przedni chroniący przed nieuprawionym dostępem do dysków.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Procesor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Zainstalowane 2 procesory ośmiordzeniowe, x86 - 64 bity, Intel Xeon 4110 (2.1GHz/8-core/11MB/85W) lub równoważne procesory maksymalnie ośmiordzeniowe, osiągające w testach SPECint_rate2006 Base wynik nie gorszy niż 700 punktów dla testu przy 2 procesorach. W przypadku zaoferowania procesora równoważnego, wynik testu musi być opublikowany na stronie </w:t>
            </w:r>
            <w:hyperlink r:id="rId7" w:history="1">
              <w:r w:rsidRPr="00255E17">
                <w:rPr>
                  <w:rFonts w:cs="Calibri"/>
                  <w:color w:val="000000" w:themeColor="text1"/>
                  <w:sz w:val="24"/>
                  <w:szCs w:val="24"/>
                  <w:u w:val="single"/>
                </w:rPr>
                <w:t>www.spec.org</w:t>
              </w:r>
            </w:hyperlink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. Wynik testu należy dostarczyć wraz z ofertą. Wynik testu przeprowadzony i opublikowany dla konfiguracji 2-procesorowej dla oferowanego modelu serwera. 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Płyta główna wspierająca zastosowanie procesorów od 4 do 28 rdzeniowych, mocy do min. 205W i taktowaniu CPU do min. 3.6GHz.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Liczba procesorów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Min. 2 procesory. 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operacyjna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128 GB RDIMM DDR4 2666 MT/s w modułach o pojemności 32GB każdy.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Płyta główna musi posiadać 24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na pamięć i umożliwiać rozbudowę do minimum 3TB LRDIMM.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Obsługa zabezpieczeń: Advanced ECC i Online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Spare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z możliwością obsługi pamięci typu NVDIMM do 192GB.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5 aktywnych gniazd PCI-Express generacji 3 działających z prędkością slotu x16 (szybkość slotu –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bus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width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), każdy pełnej wysokości i długości.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Dysk twardy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Obudowa gotowa na zainstalowanie 8 dysków SFF typu Hot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 SAS/SATA/SSD, 2,5” z możliwością rozbudowy do 24 dysków SFF.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Zainstalowane 2 dyski twarde 300GB SAS 10K SFF SC DS HDD.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Serwer umożliwiający instalację pamięci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postaci kart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microSD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/SD zapewniających minimalną pojemność 8GB i redundancję danych RAID-1. Zastosowane rozwiązanie musi posiadać gwarancję producenta serwera.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kontroler sprzętowy z min. 2GB cache z mechanizmem podtrzymywania zawartości pamięci cache w razie braku zasilania, zapewniający obsługę 24 napędów dyskowych SAS oraz obsługujący poziomy: RAID 0/1/10/5/50/6/60.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Serwer umożliwiający rozbudowę o sprzętowy kontroler RAID zapewniający obsługę RAID 0/1/10/5/50/6/60 z 4GB pamięci cache z podtrzymywaniem bateryjnym.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umożliwiający pracę z dyskami w trybach RAID i JBOD jednocześnie.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Interfejsy sieciowe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Minimum 4 wbudowane porty Ethernet 100/1000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/s RJ-45 z funkcją Wake-On-LAN, wsparciem dla PXE, które nie zajmują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dwuportowa 10Gb SFP+ ze wsparciem dla: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SR-IOV, Jumbo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frames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PXE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boot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Microsoft VMQ i Intel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Virtualization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która nie zajmuje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 Z kartą należy dostarczyć min. 2 kable DAC SFP+ min. 2m.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graficzna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Zintegrowana karta graficzna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Napęd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wewnętrznego napędu DVD-ROM lub DVD-RW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Porty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1A2C95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min 4</w:t>
            </w:r>
            <w:r w:rsidR="007961FA" w:rsidRPr="00255E17">
              <w:rPr>
                <w:rFonts w:cs="Calibri"/>
                <w:color w:val="000000" w:themeColor="text1"/>
                <w:sz w:val="24"/>
                <w:szCs w:val="24"/>
              </w:rPr>
              <w:t>x USB 3.0 w tym 2 wewnętrzne.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1x VGA , 1 port szeregowy RS232 DB9.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Wewnętrzny slot na kartę micro SD lub SD.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Nie dopuszczalne jest stosowanie przejściówek ani kart PCI w celu uzyskania wymaganej powyżej ilości portów USB, micro SD, VGA, DB9.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Zainstalowana karta pamięci micro SD/FLASH 8GB.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pamięci micro SD/FLASH zapewniającej minimalną pojemność 8GB i redundancję danych RAID-1.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 szt., typu Hot-plug, redundantne, każdy o mocy minimum 500W.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Chłodzenie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Zestaw wentylatorów redundantnych typu hot-plug.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Karta/moduł zarządzający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serwerze, posiadająca minimalną funkcjonalność: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wparcie dla agentów zarządzających oraz możliwość pracy w trybie bez</w:t>
            </w:r>
            <w:r w:rsidR="00847744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agentowym – bez agentów zarządzania instalowanych w systemie operacyjnym z generowaniem alertów SNMP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dostęp do karty zarządzającej poprzez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dedykowany port RJ45 z tyłu serwera lub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przez współdzielony port zintegrowanej karty sieciowej serwera  </w:t>
            </w:r>
          </w:p>
          <w:p w:rsidR="007961FA" w:rsidRPr="00255E17" w:rsidRDefault="007961FA" w:rsidP="00847744">
            <w:pPr>
              <w:spacing w:after="0" w:line="240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     dostęp do karty możliwy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przeglądarki webowej (GUI)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 xml:space="preserve">z poziomu linii komend zgodnie z DMTF System Management Architecture for Server Hardware, Server Management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Command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Line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(SM CLP)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skryptu (XML/Perl)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poprzez interfejs IPMI 2.0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Intelligent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Platform Management Interface)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wbudowane narzędzia diagnostyczne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konfiguracji serwera(BIOS) i instalacji systemu operacyjnego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obsługa mechanizmu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przesyłanie alertów poprzez e-mail oraz przekierowanie SNMP (SNMP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passthrough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zdalnego serwera logowania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syslog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847744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wirtualna z</w:t>
            </w:r>
            <w:r w:rsidR="007961FA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dalna konsola, tekstowa i graficzna, z dostępem do myszy i klawiatury i możliwością podłączenia wirtualnych napędów CD/DVD i USB i </w:t>
            </w:r>
            <w:proofErr w:type="spellStart"/>
            <w:r w:rsidR="007961FA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</w:t>
            </w:r>
            <w:proofErr w:type="spellEnd"/>
            <w:r w:rsidR="007961FA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wirtualnych folderów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mechanizm przechwytywania, nagrywania i odtwarzania sekwencji video dla ostatniej awarii  i ostatniego startu serwera a także nagrywanie na żądanie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funkcja zdalnej konsoli szeregowej -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Textcons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przez SSH (wirtualny port szeregowy) z funkcją nagrywania i odtwarzania sekwencji zdarzeń i aktywności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monitorowanie zasilania oraz zużycia energii przez serwer w czasie rzeczywistym z możliwością graficznej prezentacji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konfiguracja maksymalnego poziomu pobieranej mocy przez serwer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) 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zarządzanie grupami serwerów, w tym: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tworzenie i konfiguracja grup serwerów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sterowanie zasilaniem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wł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/wył) 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ograniczenie poboru mocy dla grupy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power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wspólne wirtualne media dla grupy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możliwość równoczesnej obsługi przez 6 administratorów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autentykacja dwuskładnikowa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Kerberos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wsparcie dla Microsoft Active Directory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TLS v 1.2 i SSH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enkrypcja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AES/3DES oraz RC4 dla zdalnej konsoli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IPv4 oraz iPv6, obsługa SNMP v3 oraz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RESTful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API</w:t>
            </w:r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Integrated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Remote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Console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for Windows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clients</w:t>
            </w:r>
            <w:proofErr w:type="spellEnd"/>
          </w:p>
          <w:p w:rsidR="007961FA" w:rsidRPr="00255E17" w:rsidRDefault="007961FA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 xml:space="preserve">możliwość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autokonfiguracji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sieci karty zarządzającej (DNS/DHCP)</w:t>
            </w:r>
          </w:p>
          <w:p w:rsidR="004636BA" w:rsidRPr="00255E17" w:rsidRDefault="004636BA" w:rsidP="004636BA">
            <w:pPr>
              <w:spacing w:after="0" w:line="240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 xml:space="preserve">Wsparcie dla systemów operacyjnych i systemów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wirtualizacyjnych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Microsoft Windows Server 2012 R2, 2016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Red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Hat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Enterprise Linux (RHEL) 6.9 oraz 7.3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SUSE Linux Enterprise Server (SLES) 11 SP4 oraz 12 SP2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ClearOS</w:t>
            </w:r>
            <w:proofErr w:type="spellEnd"/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CentOS</w:t>
            </w:r>
            <w:proofErr w:type="spellEnd"/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6.0 U3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6.5 oraz U1</w:t>
            </w:r>
          </w:p>
          <w:p w:rsidR="007961FA" w:rsidRPr="00255E17" w:rsidRDefault="007961FA" w:rsidP="00847744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6.7</w:t>
            </w:r>
          </w:p>
          <w:p w:rsidR="004636BA" w:rsidRPr="00255E17" w:rsidRDefault="004636BA" w:rsidP="004636BA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oferowanego serwera.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  <w:p w:rsidR="004636BA" w:rsidRPr="00255E17" w:rsidRDefault="004636B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oferowanego serwera. Uszkodzone dyski pozostają u Zamawiającego.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Zainstalowany system operacyjny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2E7261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E962C1">
              <w:rPr>
                <w:rFonts w:cs="Calibri"/>
                <w:szCs w:val="24"/>
              </w:rPr>
              <w:t>Windows Data Center 2019</w:t>
            </w:r>
          </w:p>
        </w:tc>
      </w:tr>
      <w:tr w:rsidR="007961FA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7961FA" w:rsidRPr="00255E17" w:rsidRDefault="007961FA" w:rsidP="00847744">
      <w:pPr>
        <w:rPr>
          <w:color w:val="000000" w:themeColor="text1"/>
        </w:rPr>
      </w:pPr>
    </w:p>
    <w:p w:rsidR="007961FA" w:rsidRPr="00255E17" w:rsidRDefault="007961FA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 xml:space="preserve">Macierz dyskowa 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255E17" w:rsidRPr="00255E17" w:rsidTr="00967E22">
        <w:trPr>
          <w:trHeight w:val="2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Typ obudowy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być przystosowana do montażu w szafie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19”, o wysokość maksymalnie </w:t>
            </w:r>
            <w:r w:rsidR="001A2C95">
              <w:rPr>
                <w:rFonts w:cs="Calibri"/>
                <w:color w:val="000000" w:themeColor="text1"/>
                <w:sz w:val="24"/>
                <w:szCs w:val="24"/>
              </w:rPr>
              <w:t>4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Przestrzeń dyskowa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być wyposażona w minimum 4 dyski SSD o pojemności minimum 800GB 1&lt;DWPD&lt;10, </w:t>
            </w:r>
            <w:r w:rsidR="00E338AB" w:rsidRPr="00255E17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dysków min. 600GB w technologii SAS i prędkości obrotowej min. 10k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/min, </w:t>
            </w:r>
            <w:r w:rsidR="00E338AB" w:rsidRPr="00255E17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dysków min. 4TB w technologii SAS i prędkości obrotowej min. 7,2k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/min.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rozbudowy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rozbudowę (bez wymiany kontrolerów macierzy), do co najmniej 190 dysków twardych.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Obsługa dysków</w:t>
            </w:r>
          </w:p>
          <w:p w:rsidR="007961FA" w:rsidRPr="00255E17" w:rsidRDefault="007961FA" w:rsidP="00847744">
            <w:pPr>
              <w:tabs>
                <w:tab w:val="left" w:pos="1620"/>
              </w:tabs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obsługiwać dyski SSD, SAS i NL SAS. Macierz musi umożliwiać mieszanie napędów dyskowych SSD, SAS i NL SAS w obrębie pojedynczej półki dyskowej. Macierz musi obsługiwać dyski 2,5” jak również 3,5”.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Sposób zabezpieczenia danych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obsługiwać mechanizmy RAID zgodne z RAID1, RAID10, RAID5 oraz RAID6 realizowane sprzętowo za pomocą dedykowanego układu, z możliwością dowolnej ich kombinacji w obrębie oferowanej macierzy i z wykorzystaniem wszystkich dysków twardych (tzw.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wide-striping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definiowanie globalnych dysków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spare</w:t>
            </w:r>
            <w:proofErr w:type="spellEnd"/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Tryb pracy kontrolerów macierzowych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posiadać minimum 2 kontrolery macierzowe pracujące w trybie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active-active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i udostępniające jednocześnie dane blokowe po protokole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iSCSI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z możliwością rozbudowy o porty FC. Kontrolery muszą komunikować się między sobą bez stosowania dodatkowych przełączników lub koncentratorów FC i LAN.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cache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Każdy kontroler macierzowy musi być wyposażony w minimum </w:t>
            </w:r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="002B7372" w:rsidRPr="00255E17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GB pamięci cache, </w:t>
            </w:r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16</w:t>
            </w:r>
            <w:r w:rsidR="002B7372" w:rsidRPr="00255E17">
              <w:rPr>
                <w:rFonts w:cs="Calibri"/>
                <w:color w:val="000000" w:themeColor="text1"/>
                <w:sz w:val="24"/>
                <w:szCs w:val="24"/>
              </w:rPr>
              <w:t> 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GB sumarycznie w macierzy. Pamięć cache musi być zbudowana w oparciu o wydajną pamięć typu RAM.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zapisu musi być mirrorowana (kopie lustrzane) pomiędzy kontrolerami dyskowymi.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Dane niezapisane na dyskach (np. zawartość pamięci kontrolera) muszą zostać zabezpieczone w przypadku awarii zasilania za pomocą podtrzymania bateryjnego lub z zastosowaniem innej technologii przez okres minimum 5 lat.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Rozbudowa pamięci cache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zwiększenie pojemności pamięci cache dla odczytów do minimum 8 TB z wykorzystaniem dysków SSD lub kart pamięci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Interfejsy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posiadać, co najmniej </w:t>
            </w:r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>8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porty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iSCSI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10Gb obsadzone wkładkami SFP.</w:t>
            </w:r>
            <w:r w:rsidR="0033340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Wymagana jest </w:t>
            </w:r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>możliwość zastąpienia</w:t>
            </w:r>
            <w:r w:rsidR="0033340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4 portów </w:t>
            </w:r>
            <w:proofErr w:type="spellStart"/>
            <w:r w:rsidR="00333404" w:rsidRPr="00255E17">
              <w:rPr>
                <w:rFonts w:cs="Calibri"/>
                <w:color w:val="000000" w:themeColor="text1"/>
                <w:sz w:val="24"/>
                <w:szCs w:val="24"/>
              </w:rPr>
              <w:t>iSCSI</w:t>
            </w:r>
            <w:proofErr w:type="spellEnd"/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4 port</w:t>
            </w:r>
            <w:r w:rsidR="008435E1" w:rsidRPr="00255E17">
              <w:rPr>
                <w:rFonts w:cs="Calibri"/>
                <w:color w:val="000000" w:themeColor="text1"/>
                <w:sz w:val="24"/>
                <w:szCs w:val="24"/>
              </w:rPr>
              <w:t>ami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FC 16Gb.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Zarządzanie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Zarządzanie macierzą musi być możliwe z poziomu interfejsu graficznego i interfejsu znakowego. Zarządzanie macierzą musi odbywać się bezpośrednio na kontrolerach macierzy z poziomu przeglądarki internetowej.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Zarządzanie grupami dyskowymi oraz dyskami logicznymi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zdefiniowanie, co najmniej 500 wolumenów logicznych w ramach oferowanej macierzy dyskowej.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Musi istnieć możliwość rozłożenia pojedynczego wolumenu logicznego na wszystkie dyski fizyczne macierzy (tzw.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wide-striping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), bez konieczności łączenia wielu różnych dysków logicznych w jeden większy.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Thin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Provisioning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Thin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Provisioning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odzyskiwanie przestrzeni dyskowych po usuniętych danych w ramach wolumenów typu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Thin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 Proces odzyskiwania danych musi być automatyczny bez konieczności uruchamiania dodatkowych procesów na kontrolerach macierzowych (wymagana obsługa standardu T10 SCSI UNMAP).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Wewnętrzne kopie migawkowe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Macierz musi umożliwiać dokonywania na żądanie tzw. migawkowej kopii danych (</w:t>
            </w:r>
            <w:proofErr w:type="spellStart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snapshot</w:t>
            </w:r>
            <w:proofErr w:type="spellEnd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, point-in-</w:t>
            </w:r>
            <w:proofErr w:type="spellStart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time</w:t>
            </w:r>
            <w:proofErr w:type="spellEnd"/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) w ramach macierzy za pomocą wewnętrznych kontrolerów macierzowych. Kopia migawkowa wykonuje się bez alokowania dodatkowej przestrzeni dyskowej na potrzeby kopii. Zajmowanie dodatkowej przestrzeni dyskowej następuje w momencie zmiany danych na dysku źródłowym lub na jego kopii.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Macierz musi wspierać minimum 512 kopii migawkowych.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Jeżeli do obsługi powyższych funkcjonalności wymagane są dodatkowe licencje, należy je dostarczyć dla całej pojemności urządzenia.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Wewnętrzne kopie pełne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dokonywanie na żądanie pełnej fizycznej kopii danych (clone) w ramach macierzy za pomocą wewnętrznych kontrolerów macierzowych.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Migracja danych w obrębie macierzy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dyskowa musi umożliwiać migrację danych bez przerywania do nich dostępu pomiędzy różnymi warstwami technologii dyskowych na poziomie części wolumenów logicznych (ang.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Sub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-LUN). Zmiany te muszą się odbywać wewnętrznymi mechanizmami macierzy. Funkcjonalność musi umożliwiać zdefiniowanie zasobu LUN, który fizycznie będzie znajdował się na min. 3 typach dysków obsługiwanych przez macierz, a jego części będą realokowane na podstawie analizy ruchu w sposób automatyczny i transparentny (bez przerywania dostępu do danych) dla korzystających z tego wolumenu hostów. Zmiany te muszą się odbywać wewnętrznymi mechanizmami macierzy. </w:t>
            </w: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Zdalna replikacja danych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asynchroniczną replikację danych do innej macierzy z tej samej rodziny. Replikacja musi być wykonywana na poziomie kontrolerów, bez użycia dodatkowych serwerów lub innych urządzeń i bez obciążania serwerów podłączonych do macierzy.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Jeżeli do obsługi powyższych funkcjonalności wymagane są dodatkowe licencje, należy je dostarczyć dla całej pojemności urządzenia.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Podłączanie zewnętrznych systemów operacyjnych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umożliwiać jednoczesne podłączenie wielu serwerów w trybie wysokiej dostępności (co najmniej dwoma ścieżkami).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Macierz musi wspierać podłączenie następujących systemów operacyjnych: Windows, Linux,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. 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 xml:space="preserve">Jeżeli do obsługi powyższych funkcjonalności wymagane są dodatkowe licencje, należy je dostarczyć dla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maksymalnej liczby serwerów obsługiwanych przez oferowane urządzenie.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Redundancja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Macierz musi umożliwiać wymianę elementów systemu w trybie „hot-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”, a w szczególności takich, jak: dyski, kontrolery, zasilacze, wentylatory.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Cs/>
                <w:color w:val="000000" w:themeColor="text1"/>
                <w:sz w:val="24"/>
                <w:szCs w:val="24"/>
              </w:rPr>
              <w:t>Macierz musi mieć możliwość zasilania z dwu niezależnych źródeł zasilania – odporność na zanik zasilania jednej fazy lub awarię jednego z zasilaczy macierzy.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Dodatkowe wymagania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Oferowany system dyskowy musi się składać z pojedynczej macierzy dyskowej. Niedopuszczalna jest realizacja zamówienia poprzez dostarczenie wielu macierzy dyskowych. Za pojedynczą macierz nie uznaje się rozwiązania opartego o wiele macierzy dyskowych (par kontrolerów macierzowych) połączonych przełącznikami SAN lub tzw.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wirtualizatorem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sieci SAN czy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wirtualizatorem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macierzy dyskowych.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oferowanej macierzy dyskowej.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Uszkodzone nośniki danych (dyski twarde) pozostają u Zamawiającego.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7961FA" w:rsidRPr="00255E17" w:rsidRDefault="007961FA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</w:tc>
      </w:tr>
      <w:tr w:rsidR="00255E17" w:rsidRPr="00255E17" w:rsidTr="00967E2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Urządzenia muszą być zakupione w oficjalnym kanale dystrybucyjnym producenta. Na żądanie Zamawiającego, Wykonawca musi przedstawić oświadczenie producenta oferowanego serwera,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potwierdzające pochodzenie urządzenia z oficjalnego kanału dystrybucyjnego producenta.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7961FA" w:rsidRPr="00255E17" w:rsidRDefault="007961FA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7961FA" w:rsidRPr="00255E17" w:rsidRDefault="007961FA" w:rsidP="00847744">
      <w:pPr>
        <w:rPr>
          <w:color w:val="000000" w:themeColor="text1"/>
        </w:rPr>
      </w:pPr>
    </w:p>
    <w:p w:rsidR="00D5600F" w:rsidRPr="00255E17" w:rsidRDefault="00D15BE6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Serwer  do wykonywania kopii zapasowej i odtwarzania</w:t>
      </w:r>
    </w:p>
    <w:tbl>
      <w:tblPr>
        <w:tblW w:w="9610" w:type="dxa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7110"/>
      </w:tblGrid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rack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bez wyłączania urządzenia)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zamykany, zdejmowany panel przedni chroniący przed nieuprawionym dostępem do dysków.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Procesor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Zainstalowane 2 procesory ośmiordzeniowe, x86 - 64 bity, Intel Xeon 4110 (2.1GHz/8-core/11MB/85W) lub równoważne procesory maksymalnie ośmiordzeniowe, osiągające w testach SPECint_rate2006 Base wynik nie gorszy niż 700 punktów dla testu przy 2 procesorach. W przypadku zaoferowania procesora równoważnego, wynik testu musi być opublikowany na stronie </w:t>
            </w:r>
            <w:hyperlink r:id="rId8" w:history="1">
              <w:r w:rsidRPr="00255E17">
                <w:rPr>
                  <w:rFonts w:cs="Calibri"/>
                  <w:color w:val="000000" w:themeColor="text1"/>
                  <w:sz w:val="24"/>
                  <w:szCs w:val="24"/>
                  <w:u w:val="single"/>
                </w:rPr>
                <w:t>www.spec.org</w:t>
              </w:r>
            </w:hyperlink>
            <w:r w:rsidRPr="00255E17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.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Wynik testu należy dostarczyć wraz z ofertą. Wynik testu przeprowadzony i opublikowany dla konfiguracji 2 procesorowej dla oferowanego modelu serwera.  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Płyta główna wspierająca zastosowanie procesorów od 4 do 28 rdzeniowych, mocy do min. 205W i taktowaniu CPU do min. 3.6GHz.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Liczba procesorów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Min. 2 procesory. 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Pamięć operacyjna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128 GB RDIMM DDR4 2666 MT/s w modułach o pojemności 32GB każdy.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Płyta główna musi posiadać 24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na pamięć i umożliwiać rozbudowę do minimum 3TB LRDIMM.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Obsługa zabezpieczeń: Advanced ECC i Online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Spare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z możliwością obsługi pamięci typu NVDIMM do 192GB.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5 aktywnych gniazd PCI-Express generacji 3 działających z prędkością slotu x16 (szybkość slotu –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bus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width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), każdy pełnej wysokości i długości.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Dysk twardy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Obudowa gotowa na zainstalowanie 12 dysków LFF typu Hot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 SAS/SATA/SSD, 3,5” z możliwością rozbudowy do 15 dysków LFF.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Zainstalowane 4 dyski twarde 2TB 7,2k SAS LFF 12Gb.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Serwer umożliwiający instalację pamięci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flash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postaci kart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microSD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/SD zapewniających minimalną pojemność 8GB i redundancję danych RAID-1. Zastosowane rozwiązanie musi posiadać gwarancję producenta serwera.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Kontroler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wyposażony w kontroler sprzętowy z min. 2GB cache z mechanizmem podtrzymywania zawartości pamięci cache w razie braku zasilania, zapewniający obsługę 24 napędów dyskowych SAS oraz obsługujący poziomy: RAID 0/1/10/5/50/6/60.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Serwer umożliwiający rozbudowę o sprzętowy kontroler RAID zapewniający obsługę RAID 0/1/10/5/50/6/60 z 4GB pamięci cache z podtrzymywaniem bateryjnym.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umożliwiający pracę z dyskami w trybach RAID i JBOD jednocześnie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Interfejsy sieciowe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Minimum 4 wbudowane porty Ethernet 100/1000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/s RJ-45 z funkcją Wake-On-LAN, wsparciem dla PXE, które nie zajmują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dwuportowa 10Gb SFP+ ze wsparciem dla: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SR-IOV, Jumbo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frames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PXE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boot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Microsoft VMQ i Intel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Virtualization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, która nie zajmuje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opisanych w sekcji „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Sloty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rozszerzeń”. Z kartą należy dostarczyć min. 2 kable DAC SFP+ min. 2m.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SAS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Kontroler SAS 12Gb/s z 2 portami i kablem min. 2m SAS do podłączenia biblioteki SAS LTO.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 graficzna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Zintegrowana karta graficzna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Napęd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wewnętrznego lub zewnętrznego napędu DVD-ROM lub DVD-RW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Porty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2B7372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Min 4</w:t>
            </w:r>
            <w:r w:rsidR="00D5600F" w:rsidRPr="00255E17">
              <w:rPr>
                <w:rFonts w:cs="Calibri"/>
                <w:color w:val="000000" w:themeColor="text1"/>
                <w:sz w:val="24"/>
                <w:szCs w:val="24"/>
              </w:rPr>
              <w:t>x USB 3.0 w tym 2 wewnętrzne.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1x VGA, 1 port szeregowy RS232 DB9.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Wewnętrzny slot na kartę micro SD lub SD.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Zainstalowana karta pamięci micro SD/FLASH 8GB.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instalacji pamięci micro SD/FLASH zapewniającej minimalną pojemność 8GB i redundancję danych RAID-1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Nie dopuszczalne jest stosowanie przejściówek ani kart PCI w celu uzyskania wymaganej powyżej ilości portów USB, micro SD, VGA, DB9.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Zasilacz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 szt., typu Hot-plug, redundantne, każdy o mocy minimum 500W.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Chłodzenie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Zestaw wentylatorów redundantnych typu hot-plug.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Karta/moduł zarządzający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w serwerze, posiadająca minimalną funkcjonalność: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wparcie dla agentów zarządzających oraz możliwość pracy w trybie bez</w:t>
            </w:r>
            <w:r w:rsidR="00847744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agentowym – bez agentów zarządzania </w:t>
            </w: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>instalowanych w systemie operacyjnym z generowaniem alertów SNMP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dostęp do karty zarządzającej poprzez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dedykowany port RJ45 z tyłu serwera lub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przez współdzielony port zintegrowanej karty sieciowej serwera  </w:t>
            </w:r>
          </w:p>
          <w:p w:rsidR="00D5600F" w:rsidRPr="00255E17" w:rsidRDefault="00D5600F" w:rsidP="00847744">
            <w:pPr>
              <w:spacing w:after="0" w:line="240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     dostęp do karty możliwy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przeglądarki webowej (GUI)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z poziomu linii komend zgodnie z DMTF System Management Architecture for Server Hardware, Server Management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Command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Line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Protocol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(SM CLP)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 poziomu skryptu (XML/Perl)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poprzez interfejs IPMI 2.0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Intelligent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Platform Management Interface)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wbudowane narzędzia diagnostyczne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konfiguracji serwera(BIOS) i instalacji systemu operacyjnego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obsługa mechanizmu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- automatyczne połączenie karty z serwisem producenta sprzętu, automatyczne przesyłanie alertów, zgłoszeń serwisowych i zdalne monitorowanie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przesyłanie alertów poprzez e-mail oraz przekierowanie SNMP (SNMP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passthrough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zdalnego serwera logowania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remote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syslog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847744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wirtualna z</w:t>
            </w:r>
            <w:r w:rsidR="00D5600F"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dalna konsola, tekstowa i graficzna, z dostępem do myszy i klawiatury i możliwością podłączenia wirtualnych napędów CD/DVD i USB i wirtualnych folderów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mechanizm przechwytywania, nagrywania i odtwarzania sekwencji video dla ostatniej awarii i ostatniego startu serwera a także nagrywanie na żądanie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funkcja zdalnej konsoli szeregowej -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Textcons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przez SSH (wirtualny port szeregowy) z funkcją nagrywania i odtwarzania sekwencji zdarzeń i aktywności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monitorowanie zasilania oraz zużycia energii przez serwer w czasie rzeczywistym z możliwością graficznej prezentacji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konfiguracja maksymalnego poziomu pobieranej mocy przez serwer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) 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zdalna 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zarządzanie grupami serwerów, w tym: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tworzenie i konfiguracja grup serwerów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sterowanie zasilaniem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wł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/wył) 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ograniczenie poboru mocy dla grupy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power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caping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aktualizacja oprogramowania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firmware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1"/>
                <w:numId w:val="3"/>
              </w:numPr>
              <w:spacing w:after="0" w:line="240" w:lineRule="auto"/>
              <w:ind w:left="144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wspólne wirtualne media dla grupy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możliwość równoczesnej obsługi przez 6 administratorów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lastRenderedPageBreak/>
              <w:t>autentykacja dwuskładnikowa (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Kerberos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)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wsparcie dla Microsoft Active Directory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obsługa TLS v 1.2 i SSH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enkrypcja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AES/3DES oraz RC4 dla zdalnej konsoli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IPv4 oraz iPv6, obsługa SNMP v3 oraz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RESTful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API</w:t>
            </w:r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wsparcie dla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Integrated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Remote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Console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for Windows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clients</w:t>
            </w:r>
            <w:proofErr w:type="spellEnd"/>
          </w:p>
          <w:p w:rsidR="00D5600F" w:rsidRPr="00255E17" w:rsidRDefault="00D5600F" w:rsidP="0084774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możliwość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autokonfiguracji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sieci karty zarządzającej (DNS/DHCP)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 xml:space="preserve">Wsparcie dla systemów operacyjnych i systemów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wirtualizacyjnych</w:t>
            </w:r>
            <w:proofErr w:type="spellEnd"/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Microsoft Windows Server 2012 R2, 2016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Red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Hat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Enterprise Linux (RHEL) 6.9 oraz 7.3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SUSE Linux Enterprise Server (SLES) 11 SP4 oraz 12 SP2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ClearOS</w:t>
            </w:r>
            <w:proofErr w:type="spellEnd"/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CentOS</w:t>
            </w:r>
            <w:proofErr w:type="spellEnd"/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6.0 U3</w:t>
            </w:r>
          </w:p>
          <w:p w:rsidR="00D5600F" w:rsidRPr="00255E17" w:rsidRDefault="00D5600F" w:rsidP="00847744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6.5 oraz U1</w:t>
            </w:r>
          </w:p>
          <w:p w:rsidR="00967E22" w:rsidRPr="00255E17" w:rsidRDefault="00D5600F" w:rsidP="004636BA">
            <w:pPr>
              <w:numPr>
                <w:ilvl w:val="0"/>
                <w:numId w:val="5"/>
              </w:num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VMware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ESXi</w:t>
            </w:r>
            <w:proofErr w:type="spellEnd"/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 xml:space="preserve"> 6.7</w:t>
            </w:r>
          </w:p>
          <w:p w:rsidR="004636BA" w:rsidRPr="00255E17" w:rsidRDefault="004636BA" w:rsidP="004636BA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oferowanego serwera.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</w:tc>
      </w:tr>
      <w:tr w:rsidR="00255E17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Zainstalowany system operacyjny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Microsoft Windows Server 2016 (16-Core) Standard</w:t>
            </w:r>
          </w:p>
        </w:tc>
      </w:tr>
      <w:tr w:rsidR="00D5600F" w:rsidRPr="00255E17" w:rsidTr="00967E22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967E22" w:rsidRPr="00255E17" w:rsidRDefault="00967E22" w:rsidP="00847744">
      <w:pPr>
        <w:rPr>
          <w:color w:val="000000" w:themeColor="text1"/>
        </w:rPr>
      </w:pPr>
    </w:p>
    <w:p w:rsidR="00D5600F" w:rsidRPr="00255E17" w:rsidRDefault="00D5600F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Napęd taśmowy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255E17" w:rsidRPr="00255E17" w:rsidTr="00967E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Element konfiguracji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b/>
                <w:color w:val="000000" w:themeColor="text1"/>
                <w:sz w:val="24"/>
                <w:szCs w:val="24"/>
              </w:rPr>
              <w:t>Wymagania minimalne</w:t>
            </w:r>
          </w:p>
        </w:tc>
      </w:tr>
      <w:tr w:rsidR="00255E17" w:rsidRPr="00255E17" w:rsidTr="00967E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Obudowa przeznaczona do montażu w szafie przemysłowej 19”. Wysokość biblioteki nie może przekraczać 2U.</w:t>
            </w:r>
          </w:p>
        </w:tc>
      </w:tr>
      <w:tr w:rsidR="00255E17" w:rsidRPr="00255E17" w:rsidTr="00967E22">
        <w:trPr>
          <w:trHeight w:val="1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Obsługiwane napędy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Obsługa napędów LTO-5, LTO-6, LTO-7 oraz LTO-8.</w:t>
            </w:r>
          </w:p>
        </w:tc>
      </w:tr>
      <w:tr w:rsidR="00255E17" w:rsidRPr="00255E17" w:rsidTr="00967E22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Zainstalowane napędy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2 napędy LTO-6. </w:t>
            </w:r>
          </w:p>
        </w:tc>
      </w:tr>
      <w:tr w:rsidR="00255E17" w:rsidRPr="00255E17" w:rsidTr="00967E22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Sposób pracy napędu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Napęd taśmowy musi być wyposażony w mechanizm dostosowujący automatycznie oraz płynnie prędkość przesuwu taśmy magnetycznej do wartości strumienia danych przekazywanego do napędu w zakresie co najmniej </w:t>
            </w:r>
            <w:r w:rsidR="002B7372">
              <w:rPr>
                <w:rFonts w:cs="Calibri"/>
                <w:color w:val="000000" w:themeColor="text1"/>
                <w:sz w:val="24"/>
                <w:szCs w:val="24"/>
              </w:rPr>
              <w:t>54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-160 MB/s.</w:t>
            </w:r>
          </w:p>
        </w:tc>
      </w:tr>
      <w:tr w:rsidR="00255E17" w:rsidRPr="00255E17" w:rsidTr="00967E22">
        <w:trPr>
          <w:trHeight w:val="2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4636BA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Pojemność kasety bez kompresji (z kompresją 2,5:1)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2,5 TB (6,25 TB)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Zabezpieczenie danych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Obsługa sprzętowego szyfrowania danych w standardzie AES 256-bit dla napędów LTO-5, LTO-6, LTO-7 i LTO-8.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Sprzętowe rozwiązanie (np. klucz USB lub dedykowane urządzenie) umożliwiające przechowywanie kluczy szyfrujących w sposób redundantny (dwie niezależne kopie kluczy).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Liczba slotów na kasety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Sposób obsługi wymiany taśm w bibliotece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Oferowana biblioteka taśmowa musi posiadać możliwość konfiguracji tzw. „mail slot” umożliwiającego wymianę taśm bez konieczności wyjmowania z biblioteki całego magazynka z taśmami.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Połączenie z serwerami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Interfejs SAS 6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Gb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/s.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Dodatkowe funkcjonalności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Możliwość stosowania taśm typu WORM.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Mechanizm automatycznego czyszczenia głowic, brak konieczności cyklicznej obsługi konserwacyjnej przez personel techniczny.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Oferowana biblioteka musi być wyposażona w czytnik kodów kreskowych.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Taśmy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24 taśmy LTO-6 z nalepkami z kodami kreskowymi oraz 1 taśma czyszcząca.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Oprogramowanie zarządzające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Umożliwiające monitorowanie stanu biblioteki i napędów, konfigurację, prowadzenie statystyk oraz diagnostykę. Możliwość monitorowania i konfiguracji biblioteki poprzez interfejs przeglądarki internetowej. Wsparcie dla protokołu SNMP.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Niezawodność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Parametr MSBF (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mean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swaps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between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failures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 o wartości 2 000 000 dla pełnych cykli „załaduj/wyładuj”.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Parametr MTBF (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mean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time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between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failures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) o wartości 100 000 godzin.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Kompatybilność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Oferowana biblioteka taśmowa musi posiadać wsparcie dla następującego oprogramowania służącego do tworzenia kopii bezpieczeństwa: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Computer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Associates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BrightStor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ARCserve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Micro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Focus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Data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Protector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Legato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NetWorker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IBM Spectrum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Protectec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Symantec Backup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Exec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,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•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ab/>
              <w:t xml:space="preserve">Veritas </w:t>
            </w:r>
            <w:proofErr w:type="spellStart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NetBackup</w:t>
            </w:r>
            <w:proofErr w:type="spellEnd"/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5E17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3-letnia gwarancja producenta w miejscu instalacji.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Czas reakcji w miejscu instalacji to kolejny dzień roboczy. Wsparcie techniczne realizowane jest przez serwis producenta oferowanej biblioteki taśmowej.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 ramach świadczonego serwisu Wykonawca zapewni dostęp do portali internetowych producenta sprzętu zawierających narzędzia wsparcia elektronicznego. W szczególności narzędzia te muszą umożliwiać: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przeszukiwanie bazy wiedzy producenta dotyczącej sprzętu i oprogramowania objętego wsparciem technicznym,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pobieranie poprawek i nowych wersji oprogramowania objętego serwisem,</w:t>
            </w:r>
          </w:p>
          <w:p w:rsidR="00D5600F" w:rsidRPr="00255E17" w:rsidRDefault="00D5600F" w:rsidP="0084774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contextualSpacing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eastAsia="Times New Roman" w:cs="Calibri"/>
                <w:color w:val="000000" w:themeColor="text1"/>
                <w:sz w:val="24"/>
                <w:szCs w:val="24"/>
              </w:rPr>
              <w:t>uzyskiwanie informacji o statusie umowy serwisowej oraz o urządzeniach nią objętych. Procedury dotyczące dokonywania zgłoszeń serwisowych, statusu napraw, opis procedury śledzenia zgłoszenia i eskalacji Wykonawca przedstawi Zamawiającemu w dniu podpisania umowy.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zapewni Zamawiającemu bezpośredni dostęp do laboratoriów producenta sprzętu umożliwiający zlecenie wykonania modyfikacji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objętego serwisem, jeżeli jest to konieczne dla rozwiązania problemu technicznego. Modyfikacja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nie może naruszać praw autorskich i licencyjnych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Wykonawca wykona aktualizację mikro</w:t>
            </w:r>
            <w:r w:rsidR="00847744" w:rsidRPr="00255E17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kodów sprzętu w nie rzadziej niż jeden raz na 12 miesięcy za pomocą aktualnych narzędzi aktualizujących do wersji uzgodnionej z Zamawiającym.</w:t>
            </w:r>
          </w:p>
        </w:tc>
      </w:tr>
      <w:tr w:rsidR="00D5600F" w:rsidRPr="00255E17" w:rsidTr="00967E22">
        <w:trPr>
          <w:trHeight w:val="25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Wymagane są dokumenty poświadczające, że sprzęt jest produkowany zgodnie z normami ISO 9001 oraz ISO 14001.</w:t>
            </w:r>
          </w:p>
          <w:p w:rsidR="00D5600F" w:rsidRPr="00255E17" w:rsidRDefault="00D5600F" w:rsidP="00847744">
            <w:pPr>
              <w:spacing w:after="0" w:line="276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255E17">
              <w:rPr>
                <w:rFonts w:cs="Calibri"/>
                <w:color w:val="000000" w:themeColor="text1"/>
                <w:sz w:val="24"/>
                <w:szCs w:val="24"/>
              </w:rPr>
              <w:t>Deklaracja zgodności CE.</w:t>
            </w:r>
          </w:p>
        </w:tc>
      </w:tr>
    </w:tbl>
    <w:p w:rsidR="00D5600F" w:rsidRPr="00255E17" w:rsidRDefault="00D5600F" w:rsidP="00847744">
      <w:pPr>
        <w:rPr>
          <w:color w:val="000000" w:themeColor="text1"/>
        </w:rPr>
      </w:pPr>
    </w:p>
    <w:p w:rsidR="003E0ECB" w:rsidRPr="00255E17" w:rsidRDefault="003E0ECB" w:rsidP="00847744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Przełącznik rdzeniowy</w:t>
      </w:r>
      <w:r w:rsidR="00A77822" w:rsidRPr="00255E1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Przełącznik o budowie modularnej pozwalającej na instalację minimum 144 portów gigabitowych, 48 portów 10-gigabitowych SFP+, 48 portów miedzianych 1/2,5/5/10-gigabitowych z negocjacją prędkości oraz obsługą standardu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+, 12 portów 40-gigabitowych lub ich kombinacji.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musi posiadać moduł zarządzający wyposażony w minimum 1GB pamięci stałej (typu Flash) oraz minimum 4GB pamięci operacyjnej (typu RAM) oraz możliwość instalacji drugiego, redundantnego modułu to takich samych parametrach jak moduł podstawowy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wyposażony w:</w:t>
      </w:r>
    </w:p>
    <w:p w:rsidR="00642760" w:rsidRPr="00255E17" w:rsidRDefault="00642760" w:rsidP="00847744">
      <w:pPr>
        <w:numPr>
          <w:ilvl w:val="0"/>
          <w:numId w:val="7"/>
        </w:numPr>
        <w:spacing w:after="0" w:line="276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Minimum 2</w:t>
      </w:r>
      <w:r w:rsidR="00333404" w:rsidRPr="00255E17">
        <w:rPr>
          <w:rFonts w:eastAsia="Times New Roman" w:cs="Calibri"/>
          <w:color w:val="000000" w:themeColor="text1"/>
          <w:sz w:val="24"/>
          <w:szCs w:val="24"/>
        </w:rPr>
        <w:t>0</w:t>
      </w: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porty 100BaseTX/1000BaseT ze wsparciem dla standardu 802.3at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+)</w:t>
      </w:r>
    </w:p>
    <w:p w:rsidR="00642760" w:rsidRPr="00255E17" w:rsidRDefault="00642760" w:rsidP="00847744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Minimum </w:t>
      </w:r>
      <w:r w:rsidR="00333404" w:rsidRPr="00255E17">
        <w:rPr>
          <w:rFonts w:eastAsia="Times New Roman" w:cs="Calibri"/>
          <w:color w:val="000000" w:themeColor="text1"/>
          <w:sz w:val="24"/>
          <w:szCs w:val="24"/>
        </w:rPr>
        <w:t xml:space="preserve">12 </w:t>
      </w: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portów 10-gigabitowymi SFP+ pozwalających na instalację wkładek 10Gb (SFP+) i Gigabitowych (SFP), wyposażonych w: </w:t>
      </w:r>
    </w:p>
    <w:p w:rsidR="00642760" w:rsidRPr="00255E17" w:rsidRDefault="00630C2D" w:rsidP="00847744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8</w:t>
      </w:r>
      <w:r w:rsidR="00642760" w:rsidRPr="00255E17">
        <w:rPr>
          <w:rFonts w:eastAsia="Times New Roman" w:cs="Calibri"/>
          <w:color w:val="000000" w:themeColor="text1"/>
          <w:sz w:val="24"/>
          <w:szCs w:val="24"/>
        </w:rPr>
        <w:t xml:space="preserve"> wkładek SFP+ w standardzie 10GBaseLR </w:t>
      </w:r>
    </w:p>
    <w:p w:rsidR="00642760" w:rsidRPr="00255E17" w:rsidRDefault="00630C2D" w:rsidP="00847744">
      <w:pPr>
        <w:numPr>
          <w:ilvl w:val="1"/>
          <w:numId w:val="8"/>
        </w:numPr>
        <w:spacing w:after="0" w:line="240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4</w:t>
      </w:r>
      <w:r w:rsidR="00642760" w:rsidRPr="00255E17">
        <w:rPr>
          <w:rFonts w:eastAsia="Times New Roman" w:cs="Calibri"/>
          <w:color w:val="000000" w:themeColor="text1"/>
          <w:sz w:val="24"/>
          <w:szCs w:val="24"/>
        </w:rPr>
        <w:t xml:space="preserve"> kabl</w:t>
      </w:r>
      <w:r w:rsidRPr="00255E17">
        <w:rPr>
          <w:rFonts w:eastAsia="Times New Roman" w:cs="Calibri"/>
          <w:color w:val="000000" w:themeColor="text1"/>
          <w:sz w:val="24"/>
          <w:szCs w:val="24"/>
        </w:rPr>
        <w:t>i</w:t>
      </w:r>
      <w:r w:rsidR="00642760" w:rsidRPr="00255E17">
        <w:rPr>
          <w:rFonts w:eastAsia="Times New Roman" w:cs="Calibri"/>
          <w:color w:val="000000" w:themeColor="text1"/>
          <w:sz w:val="24"/>
          <w:szCs w:val="24"/>
        </w:rPr>
        <w:t xml:space="preserve"> typu DAC 10Gb/s SFP+/SFP+ o długości co najmniej 3m. </w:t>
      </w:r>
    </w:p>
    <w:p w:rsidR="00642760" w:rsidRPr="00255E17" w:rsidRDefault="00642760" w:rsidP="00847744">
      <w:pPr>
        <w:numPr>
          <w:ilvl w:val="0"/>
          <w:numId w:val="7"/>
        </w:numPr>
        <w:spacing w:after="0" w:line="276" w:lineRule="auto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Dedykowany port do zarządzania poza pasmowego (Ethernet RJ-45) w pełni niezależny od portów liniowych.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Po wyposażeniu przełącznika w wymagane niezbędne porty powinny zostać minimum 2 wolne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sloty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umożliwiające dalszą rozbudowę do zadanej minimalnej liczby portów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wyposażony w redundantne, wewnętrzne zasilacze 230VAC wspierające standard 802.3at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+) zapewniające minimum 500W dla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(bez redundancji mocy dla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PoE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) oraz zapewniające redundancję zasilania w trybie N+N (pełna redundancja).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Przełącznik wyposażony w modularną wentylację (zapewniające redundancję wentylatory umieszczone na dedykowanym module). Przełącznik musi mieć możliwość wymiany modułu wentylatorów w trakcie pracy urządzenia.  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Przepustowość:  minimum 960Gb/s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Wydajność: minimum 320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Mp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/s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Tablica adresów MAC o wielkości minimum 64000 pozycji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Obsługa ramek Jumbo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Routing IPv4 – minimum: statyczny, RIPv2, OSPF, BGP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lastRenderedPageBreak/>
        <w:t xml:space="preserve">Routing IPv6 – minimum: statyczny,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RIPng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, OSPFv3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Routing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multicast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PIM-SM, PIM-DM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Mechanizmy redundancji bramy domyślnej - VRRP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Wielkość tablicy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rutingu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: minimum 10000 wpisów dla IPv4, 5000 wpisów dla IPv6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Wsparcie dla funkcji Policy-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based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routing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ruchu Multicast: IGMP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Snooping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; MLD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Snooping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VxLAN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: minimum 64 tunele VXLAN, obsługa minimum 64 VTEP/VSI.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IEEE 802.1s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Multiple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SpanningTree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z nie mniej niż 64 instancje MSTP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IEEE 802.1w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Rapid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Spanning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Tree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Obłsuga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RPVST+ z nie mniej niż 128 instancji PVST. 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4000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tagów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IEEE 802.1Q oraz minimum 4000 jednoczesnych sieci VLAN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Automatyczne wykrywanie przeplotu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AutoMDIX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) na portach 100/1000BaseT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standardu IEEE 802.1v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VLANs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Funkcja Root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Guard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oraz BPDU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protection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Przełączniki tego samego typu muszą posiadać funkcję łączenia w stos (wirtualny przełącznik) złożony z minimum 2 urządzeń. Zarządzanie stosem musi odbywać się z  jednego adresu IP. Z punktu widzenia zarządzania przełączniki muszą tworzyć jedno logiczne urządzenie (nie dopuszcza się rozwiązań typu klaster). Dopuszcza się łączenie w stos za pomocą portów 10Gb SFP+ lub 40Gb/s QSFP+.</w:t>
      </w:r>
    </w:p>
    <w:p w:rsidR="00642760" w:rsidRPr="00255E17" w:rsidRDefault="00642760" w:rsidP="00847744">
      <w:pPr>
        <w:numPr>
          <w:ilvl w:val="0"/>
          <w:numId w:val="6"/>
        </w:numPr>
        <w:spacing w:after="20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łączy agregowanych zgodnie ze standardem 802.3ad Link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Aggregation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(LACP)</w:t>
      </w:r>
    </w:p>
    <w:p w:rsidR="00642760" w:rsidRPr="00255E17" w:rsidRDefault="00642760" w:rsidP="00847744">
      <w:pPr>
        <w:numPr>
          <w:ilvl w:val="0"/>
          <w:numId w:val="6"/>
        </w:numPr>
        <w:spacing w:after="20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Realizacja łączy agregowanych (LACP) do różnych przełączników będących w stosie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Wsparcie dla funkcji DHCP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server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, DHCP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Relay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oraz DHCP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Snooping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(wszystkie dla IPv4 i IPv6)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Obsługa list ACL na bazie informacji z warstw 2/3/4 modelu OSI</w:t>
      </w:r>
    </w:p>
    <w:p w:rsidR="00642760" w:rsidRPr="00255E17" w:rsidRDefault="00642760" w:rsidP="00847744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minimum 4000 Access list (ACL) dla IPv4. 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Obsługa standardu 802.1p – min. 8 kolejek na porcie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Klasyfikacja ruchu do klas różnej jakości obsługi (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QoS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) poprzez wykorzystanie następujących parametrów: źródłowy/docelowy adres IP, źródłowy/docelowy port TCP.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Priorytetyzacja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zgodna z 802.1p. Wbudowane mechanizmy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rate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limiting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Funkcja mirroringu portów na porty lokalne i zdalne (Remote 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Local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Mirroring)</w:t>
      </w:r>
    </w:p>
    <w:p w:rsidR="00642760" w:rsidRPr="00255E17" w:rsidRDefault="00642760" w:rsidP="00847744">
      <w:pPr>
        <w:numPr>
          <w:ilvl w:val="0"/>
          <w:numId w:val="6"/>
        </w:numPr>
        <w:spacing w:after="12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cs="Calibri"/>
          <w:color w:val="000000" w:themeColor="text1"/>
          <w:sz w:val="24"/>
          <w:szCs w:val="24"/>
        </w:rPr>
        <w:t xml:space="preserve">Obsługa IEEE 802.1AB Link 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Layer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Discovery 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(LLDP) i LLDP Media 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Endpoint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Discovery (LLDP-MED)</w:t>
      </w:r>
    </w:p>
    <w:p w:rsidR="00642760" w:rsidRPr="00255E17" w:rsidRDefault="00642760" w:rsidP="00847744">
      <w:pPr>
        <w:numPr>
          <w:ilvl w:val="0"/>
          <w:numId w:val="6"/>
        </w:numPr>
        <w:spacing w:after="12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Funkcja autoryzacji użytkowników na porcie w trybie web-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based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authentication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i MAC-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based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authentication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120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Funkcja autoryzacji użytkowników zgodna z 802.1x. Jednoczesna autentykacja na jednym porcie dla minimum 8 stacji końcowych. 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Funkcja autoryzacji logowania do urządzenia za pomocą serwerów RADIUS albo TACACS+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RADIUS Accounting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Wsparcie dla protokołu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w wersji 1.0 oraz 1.3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musi posiadać możliwość konfiguracji przetwarzania pakietów przez przełącznik w oparciu o ciąg tablic.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Musi być możliwe wielotablicowe przetwarzanie zapytań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zawierająca następujące tablice do przetwarzania reguł sprzętowo w oparciu o: źródłowe i docelowe adresy MAC, źródłowy i docelowy adres IP oraz nr portu, numer portu wejściowego (pole IP DSCP oraz VLAN PCP)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lastRenderedPageBreak/>
        <w:t xml:space="preserve">Musi być możliwe przypisywanie więcej niż jednej akcji zadanemu wpisowi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OpenFlow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cs="Calibri"/>
          <w:color w:val="000000" w:themeColor="text1"/>
          <w:sz w:val="24"/>
          <w:szCs w:val="24"/>
        </w:rPr>
        <w:t xml:space="preserve">Wsparcie dla </w:t>
      </w:r>
      <w:proofErr w:type="spellStart"/>
      <w:r w:rsidRPr="00255E17">
        <w:rPr>
          <w:rFonts w:cs="Calibri"/>
          <w:color w:val="000000" w:themeColor="text1"/>
          <w:sz w:val="24"/>
          <w:szCs w:val="24"/>
        </w:rPr>
        <w:t>Energy-efficient</w:t>
      </w:r>
      <w:proofErr w:type="spellEnd"/>
      <w:r w:rsidRPr="00255E17">
        <w:rPr>
          <w:rFonts w:cs="Calibri"/>
          <w:color w:val="000000" w:themeColor="text1"/>
          <w:sz w:val="24"/>
          <w:szCs w:val="24"/>
        </w:rPr>
        <w:t xml:space="preserve"> Ethernet (EEE) IEEE 802.3az.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Zarządzanie poprzez port konsoli (pełne). Wbudowane porty konsoli RJ45 i USB.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Zarządzanie przez protokół SNMP wersje:1, 2c i 3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Zarządzanie przy pomocy następujących protokołów: Telnet, SSH v.2, http 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https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>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Raportowanie zdarzeń przy pomocy mechanizmów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Syslog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i SNMP Trap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Wsparcie dla protokołu dystrybucji czasu: SNTPv4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musi mieć możliwość przechowywania co najmniej dwóch wersji oprogramowania na przełączniku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Przełącznik musi mieć możliwość przechowywania co najmniej dwóch wersji plików konfiguracyjnych na przełączniku, możliwość wgrywania i zgrywania pliku konfiguracyjnego w postaci tekstowej do stacji roboczej.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Wsparcie dla funkcji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Private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VLAN lub równoważnego.</w:t>
      </w:r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mechanizmu wykrywania łączy jednokierunkowych typu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Uni-Directional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Link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Detection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(UDLD), Device Link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Detection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Protocol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(DLDP) lub równoważnego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sFlow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oraz RMON (minimum grupy 1,2,3 i 9)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Secure</w:t>
      </w:r>
      <w:proofErr w:type="spellEnd"/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 FTP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ochrony procesora </w:t>
      </w:r>
    </w:p>
    <w:p w:rsidR="00642760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Obsługa standardu 802.1AE </w:t>
      </w:r>
      <w:proofErr w:type="spellStart"/>
      <w:r w:rsidRPr="00255E17">
        <w:rPr>
          <w:rFonts w:eastAsia="Times New Roman" w:cs="Calibri"/>
          <w:color w:val="000000" w:themeColor="text1"/>
          <w:sz w:val="24"/>
          <w:szCs w:val="24"/>
        </w:rPr>
        <w:t>MACsec</w:t>
      </w:r>
      <w:proofErr w:type="spellEnd"/>
    </w:p>
    <w:p w:rsidR="00642760" w:rsidRPr="00255E17" w:rsidRDefault="00642760" w:rsidP="00847744">
      <w:pPr>
        <w:numPr>
          <w:ilvl w:val="0"/>
          <w:numId w:val="6"/>
        </w:numPr>
        <w:spacing w:after="0" w:line="0" w:lineRule="atLeast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Minimalny zakres pracy od 0°C do 40°C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Wysokość w szafie 19” – 7U</w:t>
      </w:r>
    </w:p>
    <w:p w:rsidR="00642760" w:rsidRPr="00255E17" w:rsidRDefault="00642760" w:rsidP="00847744">
      <w:pPr>
        <w:numPr>
          <w:ilvl w:val="0"/>
          <w:numId w:val="6"/>
        </w:numPr>
        <w:spacing w:after="100" w:afterAutospacing="1" w:line="240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Głębokość do 50 cm.</w:t>
      </w:r>
    </w:p>
    <w:p w:rsidR="00B31EB4" w:rsidRPr="00255E17" w:rsidRDefault="00642760" w:rsidP="00847744">
      <w:pPr>
        <w:numPr>
          <w:ilvl w:val="0"/>
          <w:numId w:val="6"/>
        </w:numPr>
        <w:spacing w:after="0" w:line="276" w:lineRule="auto"/>
        <w:ind w:left="720" w:hanging="36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 xml:space="preserve">Dożywotnia gwarancja producenta obejmująca wszystkie elementy przełącznika (również zasilacze i wentylatory) zapewniająca wysyłkę sprawnego sprzętu na podmianę na następny dzień roboczy 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po zgłoszeniu awarii (AHR NBD).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Gwarancja musi zapewniać również dostęp do poprawek oprogramowania urządze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nia oraz wsparcia technicznego.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Wymagane jest zapewnienie wsparcia telefonicznego w trybie 8x5 prze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z cały okres trwania gwarancji.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Całość świadczeń gwarancyjnych musi być realizowana bezpośr</w:t>
      </w:r>
      <w:r w:rsidR="00B31EB4" w:rsidRPr="00255E17">
        <w:rPr>
          <w:rFonts w:eastAsia="Times New Roman" w:cs="Calibri"/>
          <w:color w:val="000000" w:themeColor="text1"/>
          <w:sz w:val="24"/>
          <w:szCs w:val="24"/>
        </w:rPr>
        <w:t>ednio przez producenta sprzętu.</w:t>
      </w:r>
    </w:p>
    <w:p w:rsidR="00B31EB4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Zamawiający musi mieć bezpośredni dostęp do wsparcia technicznego producenta.</w:t>
      </w:r>
    </w:p>
    <w:p w:rsidR="003E0ECB" w:rsidRPr="00255E17" w:rsidRDefault="00642760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  <w:r w:rsidRPr="00255E17">
        <w:rPr>
          <w:rFonts w:eastAsia="Times New Roman" w:cs="Calibri"/>
          <w:color w:val="000000" w:themeColor="text1"/>
          <w:sz w:val="24"/>
          <w:szCs w:val="24"/>
        </w:rPr>
        <w:t>Wymagane wkładki optyczne i kable muszą pochodzić od producenta urządzenia i być objęte jego gwarancją.</w:t>
      </w:r>
    </w:p>
    <w:p w:rsidR="00B31EB4" w:rsidRPr="00255E17" w:rsidRDefault="00B31EB4" w:rsidP="00847744">
      <w:pPr>
        <w:spacing w:after="0" w:line="276" w:lineRule="auto"/>
        <w:ind w:left="720"/>
        <w:contextualSpacing/>
        <w:rPr>
          <w:rFonts w:eastAsia="Times New Roman" w:cs="Calibri"/>
          <w:color w:val="000000" w:themeColor="text1"/>
          <w:sz w:val="24"/>
          <w:szCs w:val="24"/>
        </w:rPr>
      </w:pPr>
    </w:p>
    <w:p w:rsidR="00817C6B" w:rsidRPr="00255E17" w:rsidRDefault="00642760" w:rsidP="00A22460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255E17">
        <w:rPr>
          <w:rFonts w:ascii="Arial" w:hAnsi="Arial" w:cs="Arial"/>
          <w:b/>
          <w:color w:val="000000" w:themeColor="text1"/>
          <w:sz w:val="24"/>
          <w:szCs w:val="24"/>
        </w:rPr>
        <w:t>UPS</w:t>
      </w:r>
      <w:r w:rsidR="00A77822" w:rsidRPr="00255E1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17C6B" w:rsidRPr="00255E1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5180"/>
      </w:tblGrid>
      <w:tr w:rsidR="00255E17" w:rsidRPr="00255E17" w:rsidTr="0027069A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WYMAGANIA MINIMALNE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Moc wyjściowa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10kVA/9kW</w:t>
            </w:r>
          </w:p>
        </w:tc>
      </w:tr>
      <w:tr w:rsidR="00255E17" w:rsidRPr="00255E17" w:rsidTr="0027069A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Topologia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VFI-SS-111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Sprawność całkowita dla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Pmax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(dla VFI)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&lt;93%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Sprawność całkowita dla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Pmax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(dla ECO)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&gt;97%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Chłodzenie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wymuszone, wewnętrzne wentylatory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Temperatura przechowywania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0 ÷ +40 °C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Temperatura pracy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0 ÷ +40 °C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lastRenderedPageBreak/>
              <w:t>Stopień ochrony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IP20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PROSTOWNIK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Zakres napięcia wejściowego dla konfiguracji fazowej 3/1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305 ÷ 461 V AC ± 3%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Zakres częstotliwości wejściowej oraz tolerancja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45 ÷ 55 / 54 ÷ 66 ±1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Hz</w:t>
            </w:r>
            <w:proofErr w:type="spellEnd"/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Prąd znamionowy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15A</w:t>
            </w:r>
          </w:p>
        </w:tc>
      </w:tr>
      <w:tr w:rsidR="00255E17" w:rsidRPr="00255E17" w:rsidTr="0027069A">
        <w:trPr>
          <w:trHeight w:val="69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Współczynnik mocy PF (bez zewnętrznych układów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kompensujacych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, realizowane za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pomoca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układu prostownika)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&gt; 0,99</w:t>
            </w:r>
          </w:p>
        </w:tc>
      </w:tr>
      <w:tr w:rsidR="00255E17" w:rsidRPr="00255E17" w:rsidTr="0027069A">
        <w:trPr>
          <w:trHeight w:val="69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Zniekształcenia prądu wejściowego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THDi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(bez zewnętrznych układów filtrujących, realizowane za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pomoca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układu prostownika)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&lt; 5%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FALOWNIK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Znamionowe napięcie wyjściowe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200 V AC / 208 V AC / 220 V AC / 230 V AC / 240 V AC ± 1 %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Wartość napięcia wyjściowego ustawiana z panelu LCD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wymagane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Zakres częstotliwości wyjściowej oraz tolerancja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50 / 60 ± 0,5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Hz</w:t>
            </w:r>
            <w:proofErr w:type="spellEnd"/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Regulacja statyczna napięcia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± 1%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Zniekształcenia napięcia wyjściowego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THDu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&lt; 2 % dla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Pmax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(liniowe)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&lt; 5 % (nieliniowe wg PN EN 62040-3 )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Współczynnik szczytu CF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3:1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Czas przełączenia na pracę rezerwową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0 ms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Przeciążalność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minimum '130%-150% - 10sek / 110%-130% - 1min / 100%-110% - 5min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CZAS PRACY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46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Czas pracy z baterii (przy wykorzystaniu akumulatorów wew. UPS lub w UPS oraz w Zewnętrznym Module Bateryjnym)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minimum 40 minut dla obciążenia 3200W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Akumulatory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akumulatory o projektowanej żywotności minimum 6-9 lat</w:t>
            </w:r>
          </w:p>
        </w:tc>
      </w:tr>
      <w:tr w:rsidR="00255E17" w:rsidRPr="00255E17" w:rsidTr="0027069A">
        <w:trPr>
          <w:trHeight w:val="684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możliwość zamontowania minimum 20szt akumulatorów 9Ah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wewnętrz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UPS oraz opcjonalnie minimum 20szt akumulatorów 9Ah w zewnętrznym module bateryjnym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WYPOSAŻENIE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Sygnalizacja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akustyczno-diodowa, wyświetlacz LCD z menu w języku polskim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Przyłącza wyjściowe (liczba i typ gniazd)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zaciski śrubowe M6 oraz minimum 2 gniazda IEC320 C13 (10A)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Interfejs komunikacyjny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RS232, USB, SNMP/HTTP, złącze komunikacji do pracy równoległej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EPO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wymagane / standard NC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Język oprogramowania i menu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polski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Oprogramowanie monitorująco-zarządzające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oprogramamowanie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w języku polskim do zarządzania i monitorowania pracy UPS .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wsparcie dla systemów Linux, Windows oraz wirtualizacji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Hyper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-V,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Vmware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XenServer</w:t>
            </w:r>
            <w:proofErr w:type="spellEnd"/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wymagane jedno, wspólne oprogramowanie do zarządzania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UPSami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1-fazowymi i 3-fazowymi</w:t>
            </w:r>
          </w:p>
        </w:tc>
      </w:tr>
      <w:tr w:rsidR="00255E17" w:rsidRPr="00255E17" w:rsidTr="0027069A">
        <w:trPr>
          <w:trHeight w:val="444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możliwość edycji nazw urządzeń na liście monitorowanych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UPSów</w:t>
            </w:r>
            <w:proofErr w:type="spellEnd"/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wymagane wsparcie producenta (telefoniczne oraz mailowe) w języku polskim odnośnie konfiguracji i rozwiązywania problemów. 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PARAMETRY MECHANICZNE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Wymiary zasilacza UPS (wys. X szer. X gł.)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większe niż 709 x 261 x 551 mm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Masa zasilacza UPS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większa niż 90 kg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Wymiary Moduł Bateryjny (wys. X szer. X gł.)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większe niż 796 x 341 x 741 mm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Masa Moduł Bateryjny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nie większa niż 110 kg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GWARANCJA / SERWIS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Gwarancja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min. 2 lata na elektronikę i rok na akumulatory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Serwis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serwis on-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site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- usługa realizowana w siedzibie Klienta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autoryzowany serwis producenta zlokalizowany w Polsce. 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Czas naprawy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max. 14 dni roboczych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b/>
                <w:bCs/>
                <w:color w:val="000000" w:themeColor="text1"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Praca równoległa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możliwość </w:t>
            </w:r>
            <w:proofErr w:type="spellStart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parcy</w:t>
            </w:r>
            <w:proofErr w:type="spellEnd"/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 równoległej do 4 jednostek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Certyfikaty / oświadczenia producenta sprzętu (załączyć do oferty)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ISO 9001:2015 dla producenta sprzętu obejmujący proces projektowania, produkcji i serwisu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karta katalogowa oferowanego sprzętu</w:t>
            </w:r>
          </w:p>
        </w:tc>
      </w:tr>
      <w:tr w:rsidR="00255E17" w:rsidRPr="00255E17" w:rsidTr="0027069A">
        <w:trPr>
          <w:trHeight w:val="288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deklaracja CE wystawiona w oparciu o obowiązujące normy (LVD, EMC)</w:t>
            </w:r>
          </w:p>
        </w:tc>
      </w:tr>
      <w:tr w:rsidR="00255E17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>gwarancja musi być realizowana wyłącznie przez serwis producenta - należy przedstawić odpowiednie oświadczenie producenta</w:t>
            </w:r>
          </w:p>
        </w:tc>
      </w:tr>
      <w:tr w:rsidR="0027069A" w:rsidRPr="00255E17" w:rsidTr="0027069A">
        <w:trPr>
          <w:trHeight w:val="456"/>
        </w:trPr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A" w:rsidRPr="00255E17" w:rsidRDefault="0027069A" w:rsidP="002706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</w:pPr>
            <w:r w:rsidRPr="00255E1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  <w:lang w:eastAsia="pl-PL"/>
              </w:rPr>
              <w:t xml:space="preserve">sprzęt i oprogramowanie będzie pochodzić z autoryzowanego kanału sprzedaży </w:t>
            </w:r>
          </w:p>
        </w:tc>
      </w:tr>
    </w:tbl>
    <w:p w:rsidR="00817C6B" w:rsidRPr="00255E17" w:rsidRDefault="00817C6B" w:rsidP="00847744">
      <w:pPr>
        <w:rPr>
          <w:b/>
          <w:color w:val="000000" w:themeColor="text1"/>
        </w:rPr>
      </w:pPr>
    </w:p>
    <w:sectPr w:rsidR="00817C6B" w:rsidRPr="00255E17" w:rsidSect="006D3E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7A" w:rsidRDefault="00C84C7A" w:rsidP="000E3033">
      <w:pPr>
        <w:spacing w:after="0" w:line="240" w:lineRule="auto"/>
      </w:pPr>
      <w:r>
        <w:separator/>
      </w:r>
    </w:p>
  </w:endnote>
  <w:endnote w:type="continuationSeparator" w:id="0">
    <w:p w:rsidR="00C84C7A" w:rsidRDefault="00C84C7A" w:rsidP="000E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136861"/>
      <w:docPartObj>
        <w:docPartGallery w:val="Page Numbers (Bottom of Page)"/>
        <w:docPartUnique/>
      </w:docPartObj>
    </w:sdtPr>
    <w:sdtEndPr/>
    <w:sdtContent>
      <w:p w:rsidR="001A2C95" w:rsidRDefault="001A2C95" w:rsidP="004636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A6">
          <w:rPr>
            <w:noProof/>
          </w:rPr>
          <w:t>19</w:t>
        </w:r>
        <w:r>
          <w:fldChar w:fldCharType="end"/>
        </w:r>
        <w:r w:rsidR="00CA79C2">
          <w:t>/19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66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C95" w:rsidRDefault="001A2C95">
        <w:pPr>
          <w:pStyle w:val="Stopka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3EA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/18</w:t>
        </w:r>
      </w:p>
    </w:sdtContent>
  </w:sdt>
  <w:p w:rsidR="001A2C95" w:rsidRDefault="001A2C95" w:rsidP="005852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7A" w:rsidRDefault="00C84C7A" w:rsidP="000E3033">
      <w:pPr>
        <w:spacing w:after="0" w:line="240" w:lineRule="auto"/>
      </w:pPr>
      <w:r>
        <w:separator/>
      </w:r>
    </w:p>
  </w:footnote>
  <w:footnote w:type="continuationSeparator" w:id="0">
    <w:p w:rsidR="00C84C7A" w:rsidRDefault="00C84C7A" w:rsidP="000E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95" w:rsidRDefault="001A2C95" w:rsidP="000E303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95" w:rsidRDefault="009B48EF" w:rsidP="009B48EF">
    <w:pPr>
      <w:pStyle w:val="Nagwek"/>
      <w:pageBreakBefore/>
      <w:tabs>
        <w:tab w:val="left" w:pos="6510"/>
        <w:tab w:val="center" w:pos="7370"/>
        <w:tab w:val="center" w:pos="11659"/>
        <w:tab w:val="right" w:pos="16478"/>
      </w:tabs>
      <w:ind w:left="567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1A2C95" w:rsidRPr="000A58BC">
      <w:rPr>
        <w:rFonts w:ascii="Times New Roman" w:hAnsi="Times New Roman" w:cs="Times New Roman"/>
        <w:b/>
      </w:rPr>
      <w:t xml:space="preserve">Załącznik </w:t>
    </w:r>
    <w:r>
      <w:rPr>
        <w:rFonts w:ascii="Times New Roman" w:hAnsi="Times New Roman" w:cs="Times New Roman"/>
        <w:b/>
      </w:rPr>
      <w:t xml:space="preserve">Nr 1 </w:t>
    </w:r>
  </w:p>
  <w:p w:rsidR="00075D60" w:rsidRPr="00075D60" w:rsidRDefault="00075D60" w:rsidP="00075D60">
    <w:pPr>
      <w:pStyle w:val="Nagwek"/>
      <w:pageBreakBefore/>
      <w:tabs>
        <w:tab w:val="center" w:pos="11659"/>
        <w:tab w:val="right" w:pos="16478"/>
      </w:tabs>
      <w:ind w:left="5670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05AFD"/>
    <w:multiLevelType w:val="hybridMultilevel"/>
    <w:tmpl w:val="A8D0D848"/>
    <w:name w:val="Numbered list 2"/>
    <w:lvl w:ilvl="0" w:tplc="E73CA5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68AF6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44D6F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140D5D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CCED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CAE6A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C03A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36851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2BAA56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3DCC7E1A"/>
    <w:multiLevelType w:val="multilevel"/>
    <w:tmpl w:val="E49608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3804B7E"/>
    <w:multiLevelType w:val="hybridMultilevel"/>
    <w:tmpl w:val="ACF4916E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B">
      <w:start w:val="1"/>
      <w:numFmt w:val="lowerRoman"/>
      <w:lvlText w:val="%2."/>
      <w:lvlJc w:val="right"/>
      <w:pPr>
        <w:ind w:left="1788" w:hanging="360"/>
      </w:pPr>
    </w:lvl>
    <w:lvl w:ilvl="2" w:tplc="950A30C8">
      <w:start w:val="5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DA391A"/>
    <w:multiLevelType w:val="hybridMultilevel"/>
    <w:tmpl w:val="98AA2ED2"/>
    <w:name w:val="Numbered list 9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403E"/>
    <w:multiLevelType w:val="hybridMultilevel"/>
    <w:tmpl w:val="93FCCCF6"/>
    <w:name w:val="Numbered list 17"/>
    <w:lvl w:ilvl="0" w:tplc="A062657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0EC4D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4AAFE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C6B8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649DB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4CBE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582E9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82531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62A5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76916632"/>
    <w:multiLevelType w:val="hybridMultilevel"/>
    <w:tmpl w:val="976A228C"/>
    <w:name w:val="Numbered list 13"/>
    <w:lvl w:ilvl="0" w:tplc="A2A4EAA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6E4A4F2">
      <w:numFmt w:val="bullet"/>
      <w:lvlText w:val="-"/>
      <w:lvlJc w:val="left"/>
      <w:pPr>
        <w:ind w:left="1080" w:firstLine="0"/>
      </w:pPr>
      <w:rPr>
        <w:rFonts w:ascii="Calibri" w:eastAsia="Calibri" w:hAnsi="Calibri" w:cs="Calibri"/>
      </w:rPr>
    </w:lvl>
    <w:lvl w:ilvl="2" w:tplc="4B4ADA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A0A1DC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3ECD8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983D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CACAF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1448D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9362B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7A4D267F"/>
    <w:multiLevelType w:val="hybridMultilevel"/>
    <w:tmpl w:val="1974B524"/>
    <w:name w:val="Numbered list 3"/>
    <w:lvl w:ilvl="0" w:tplc="C8F85974">
      <w:start w:val="1"/>
      <w:numFmt w:val="decimal"/>
      <w:lvlText w:val="%1."/>
      <w:lvlJc w:val="left"/>
      <w:pPr>
        <w:ind w:left="360" w:firstLine="0"/>
      </w:pPr>
      <w:rPr>
        <w:color w:val="auto"/>
      </w:rPr>
    </w:lvl>
    <w:lvl w:ilvl="1" w:tplc="50FA0344">
      <w:start w:val="1"/>
      <w:numFmt w:val="lowerLetter"/>
      <w:lvlText w:val="%2."/>
      <w:lvlJc w:val="left"/>
      <w:pPr>
        <w:ind w:left="1080" w:firstLine="0"/>
      </w:pPr>
    </w:lvl>
    <w:lvl w:ilvl="2" w:tplc="B55C03C0">
      <w:start w:val="1"/>
      <w:numFmt w:val="lowerRoman"/>
      <w:lvlText w:val="%3."/>
      <w:lvlJc w:val="left"/>
      <w:pPr>
        <w:ind w:left="1980" w:firstLine="0"/>
      </w:pPr>
    </w:lvl>
    <w:lvl w:ilvl="3" w:tplc="16866FEE">
      <w:start w:val="1"/>
      <w:numFmt w:val="decimal"/>
      <w:lvlText w:val="%4."/>
      <w:lvlJc w:val="left"/>
      <w:pPr>
        <w:ind w:left="2520" w:firstLine="0"/>
      </w:pPr>
    </w:lvl>
    <w:lvl w:ilvl="4" w:tplc="649C2ECE">
      <w:start w:val="1"/>
      <w:numFmt w:val="lowerLetter"/>
      <w:lvlText w:val="%5."/>
      <w:lvlJc w:val="left"/>
      <w:pPr>
        <w:ind w:left="3240" w:firstLine="0"/>
      </w:pPr>
    </w:lvl>
    <w:lvl w:ilvl="5" w:tplc="EB7CA02A">
      <w:start w:val="1"/>
      <w:numFmt w:val="lowerRoman"/>
      <w:lvlText w:val="%6."/>
      <w:lvlJc w:val="left"/>
      <w:pPr>
        <w:ind w:left="4140" w:firstLine="0"/>
      </w:pPr>
    </w:lvl>
    <w:lvl w:ilvl="6" w:tplc="FE4C2D56">
      <w:start w:val="1"/>
      <w:numFmt w:val="decimal"/>
      <w:lvlText w:val="%7."/>
      <w:lvlJc w:val="left"/>
      <w:pPr>
        <w:ind w:left="4680" w:firstLine="0"/>
      </w:pPr>
    </w:lvl>
    <w:lvl w:ilvl="7" w:tplc="B96632C6">
      <w:start w:val="1"/>
      <w:numFmt w:val="lowerLetter"/>
      <w:lvlText w:val="%8."/>
      <w:lvlJc w:val="left"/>
      <w:pPr>
        <w:ind w:left="5400" w:firstLine="0"/>
      </w:pPr>
    </w:lvl>
    <w:lvl w:ilvl="8" w:tplc="4C409664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7D5B5C81"/>
    <w:multiLevelType w:val="hybridMultilevel"/>
    <w:tmpl w:val="0652EE8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FA"/>
    <w:rsid w:val="00075D60"/>
    <w:rsid w:val="00097E36"/>
    <w:rsid w:val="000E3033"/>
    <w:rsid w:val="001A2C95"/>
    <w:rsid w:val="001B069B"/>
    <w:rsid w:val="001E7EE5"/>
    <w:rsid w:val="00241F73"/>
    <w:rsid w:val="00255E17"/>
    <w:rsid w:val="0027069A"/>
    <w:rsid w:val="002B7372"/>
    <w:rsid w:val="002E7261"/>
    <w:rsid w:val="002F3448"/>
    <w:rsid w:val="00333404"/>
    <w:rsid w:val="00360542"/>
    <w:rsid w:val="003711DC"/>
    <w:rsid w:val="003E0ECB"/>
    <w:rsid w:val="004636BA"/>
    <w:rsid w:val="00482C20"/>
    <w:rsid w:val="004C17A2"/>
    <w:rsid w:val="00530520"/>
    <w:rsid w:val="00534C19"/>
    <w:rsid w:val="00585244"/>
    <w:rsid w:val="005C43D8"/>
    <w:rsid w:val="00630C2D"/>
    <w:rsid w:val="00642760"/>
    <w:rsid w:val="006D3EA6"/>
    <w:rsid w:val="006F3D61"/>
    <w:rsid w:val="007961FA"/>
    <w:rsid w:val="00817C6B"/>
    <w:rsid w:val="008435E1"/>
    <w:rsid w:val="00847744"/>
    <w:rsid w:val="00967E22"/>
    <w:rsid w:val="0097313F"/>
    <w:rsid w:val="00983A5D"/>
    <w:rsid w:val="009B48EF"/>
    <w:rsid w:val="00A22460"/>
    <w:rsid w:val="00A36694"/>
    <w:rsid w:val="00A77822"/>
    <w:rsid w:val="00A859EE"/>
    <w:rsid w:val="00AB1D4D"/>
    <w:rsid w:val="00AB2050"/>
    <w:rsid w:val="00AD6FA1"/>
    <w:rsid w:val="00AF4DCE"/>
    <w:rsid w:val="00B31EB4"/>
    <w:rsid w:val="00BC59EB"/>
    <w:rsid w:val="00C84C7A"/>
    <w:rsid w:val="00CA79C2"/>
    <w:rsid w:val="00CB7AB1"/>
    <w:rsid w:val="00D15BE6"/>
    <w:rsid w:val="00D515B0"/>
    <w:rsid w:val="00D5600F"/>
    <w:rsid w:val="00D75DA9"/>
    <w:rsid w:val="00DB5080"/>
    <w:rsid w:val="00E338AB"/>
    <w:rsid w:val="00E962C1"/>
    <w:rsid w:val="00EB5E7C"/>
    <w:rsid w:val="00ED0C88"/>
    <w:rsid w:val="00ED0FDD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D1DD9-8FA4-4876-862C-684813FB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1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033"/>
  </w:style>
  <w:style w:type="paragraph" w:styleId="Stopka">
    <w:name w:val="footer"/>
    <w:basedOn w:val="Normalny"/>
    <w:link w:val="StopkaZnak"/>
    <w:uiPriority w:val="99"/>
    <w:unhideWhenUsed/>
    <w:rsid w:val="000E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033"/>
  </w:style>
  <w:style w:type="paragraph" w:styleId="Tekstdymka">
    <w:name w:val="Balloon Text"/>
    <w:basedOn w:val="Normalny"/>
    <w:link w:val="TekstdymkaZnak"/>
    <w:uiPriority w:val="99"/>
    <w:semiHidden/>
    <w:unhideWhenUsed/>
    <w:rsid w:val="006D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5789</Words>
  <Characters>34737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5</cp:revision>
  <cp:lastPrinted>2019-05-21T09:15:00Z</cp:lastPrinted>
  <dcterms:created xsi:type="dcterms:W3CDTF">2019-05-21T05:35:00Z</dcterms:created>
  <dcterms:modified xsi:type="dcterms:W3CDTF">2019-05-21T09:18:00Z</dcterms:modified>
</cp:coreProperties>
</file>