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94" w:rsidRPr="00255E17" w:rsidRDefault="00A77822" w:rsidP="00A36694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255E17">
        <w:rPr>
          <w:rFonts w:ascii="Arial" w:hAnsi="Arial" w:cs="Arial"/>
          <w:b/>
          <w:color w:val="000000" w:themeColor="text1"/>
          <w:sz w:val="40"/>
          <w:szCs w:val="40"/>
        </w:rPr>
        <w:t>W</w:t>
      </w:r>
      <w:r w:rsidR="007961FA" w:rsidRPr="00255E17">
        <w:rPr>
          <w:rFonts w:ascii="Arial" w:hAnsi="Arial" w:cs="Arial"/>
          <w:b/>
          <w:color w:val="000000" w:themeColor="text1"/>
          <w:sz w:val="40"/>
          <w:szCs w:val="40"/>
        </w:rPr>
        <w:t>ykaz</w:t>
      </w:r>
      <w:r w:rsidRPr="00255E17">
        <w:rPr>
          <w:rFonts w:ascii="Arial" w:hAnsi="Arial" w:cs="Arial"/>
          <w:b/>
          <w:color w:val="000000" w:themeColor="text1"/>
          <w:sz w:val="40"/>
          <w:szCs w:val="40"/>
        </w:rPr>
        <w:t xml:space="preserve"> wymaganych</w:t>
      </w:r>
      <w:r w:rsidR="007961FA" w:rsidRPr="00255E17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255E17">
        <w:rPr>
          <w:rFonts w:ascii="Arial" w:hAnsi="Arial" w:cs="Arial"/>
          <w:b/>
          <w:color w:val="000000" w:themeColor="text1"/>
          <w:sz w:val="40"/>
          <w:szCs w:val="40"/>
        </w:rPr>
        <w:t>parametrów</w:t>
      </w:r>
      <w:r w:rsidR="007961FA" w:rsidRPr="00255E17">
        <w:rPr>
          <w:rFonts w:ascii="Arial" w:hAnsi="Arial" w:cs="Arial"/>
          <w:b/>
          <w:color w:val="000000" w:themeColor="text1"/>
          <w:sz w:val="40"/>
          <w:szCs w:val="40"/>
        </w:rPr>
        <w:t xml:space="preserve"> urządzeń </w:t>
      </w:r>
    </w:p>
    <w:p w:rsidR="00DB5080" w:rsidRPr="00255E17" w:rsidRDefault="007961FA" w:rsidP="00A36694">
      <w:pPr>
        <w:jc w:val="center"/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Serwer do obsługi AD, ERP i inn</w:t>
      </w:r>
      <w:r w:rsidR="00A36694" w:rsidRPr="00255E17">
        <w:rPr>
          <w:rFonts w:ascii="Arial" w:hAnsi="Arial" w:cs="Arial"/>
          <w:b/>
          <w:color w:val="000000" w:themeColor="text1"/>
          <w:sz w:val="24"/>
          <w:szCs w:val="24"/>
        </w:rPr>
        <w:t>ych</w:t>
      </w: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W w:w="9610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7110"/>
      </w:tblGrid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Wymagania minimalne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Maksymalnie 2U RACK 19 cali (wraz z szynami montażowymi oraz ramieniem do prowadzenia kabli, umożliwiającymi serwisowanie serwera w szafie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bez wyłączania urządzenia).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wyposażony w zamykany, zdejmowany panel przedni chroniący przed nieuprawionym dostępem do dysków.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Procesor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Zainstalowane 2 procesory ośmiordzeniowe, x86 - 64 bity, Intel Xeon 4110 (2.1GHz/8-core/11MB/85W) lub równoważne procesory maksymalnie ośmiordzeniowe, osiągające w testach SPECint_rate2006 Base wynik nie gorszy niż 700 punktów dla testu przy 2 procesorach. W przypadku zaoferowania procesora równoważnego, wynik testu musi być opublikowany na stronie </w:t>
            </w:r>
            <w:hyperlink r:id="rId7" w:history="1">
              <w:r w:rsidRPr="00255E17">
                <w:rPr>
                  <w:rFonts w:cs="Calibri"/>
                  <w:color w:val="000000" w:themeColor="text1"/>
                  <w:sz w:val="24"/>
                  <w:szCs w:val="24"/>
                  <w:u w:val="single"/>
                </w:rPr>
                <w:t>www.spec.org</w:t>
              </w:r>
            </w:hyperlink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. Wynik testu należy dostarczyć wraz z ofertą. Wynik testu przeprowadzony i opublikowany dla konfiguracji 2-procesorowej dla oferowanego modelu serwera. 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Płyta główna wspierająca zastosowanie procesorów od 4 do 28 rdzeniowych, mocy do min. 205W i taktowaniu CPU do min. 3.6GHz.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Liczba procesorów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Min. 2 procesory. 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Pamięć operacyjna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128 GB RDIMM DDR4 2666 MT/s w modułach o pojemności 32GB każdy.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Płyta główna musi posiadać 24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na pamięć i umożliwiać rozbudowę do minimum 3TB LRDIMM.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Obsługa zabezpieczeń: Advanced ECC i Online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Spare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z możliwością obsługi pamięci typu NVDIMM do 192GB.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5 aktywnych gniazd PCI-Express generacji 3 działających z prędkością slotu x16 (szybkość slotu –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bus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width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), każdy pełnej wysokości i długości.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Dysk twardy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Obudowa gotowa na zainstalowanie 8 dysków SFF typu Hot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Swap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 SAS/SATA/SSD, 2,5” z możliwością rozbudowy do 24 dysków SFF.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Zainstalowane 2 dyski twarde 300GB SAS 10K SFF SC DS HDD.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Serwer umożliwiający instalację pamięci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flash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 postaci kart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microSD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/SD zapewniających minimalną pojemność 8GB i redundancję danych RAID-1. Zastosowane rozwiązanie musi posiadać gwarancję producenta serwera.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wyposażony w kontroler sprzętowy z min. 2GB cache z mechanizmem podtrzymywania zawartości pamięci cache w razie braku zasilania, zapewniający obsługę 24 napędów dyskowych SAS oraz obsługujący poziomy: RAID 0/1/10/5/50/6/60.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Serwer umożliwiający rozbudowę o sprzętowy kontroler RAID zapewniający obsługę RAID 0/1/10/5/50/6/60 z 4GB pamięci cache z podtrzymywaniem bateryjnym.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 umożliwiający pracę z dyskami w trybach RAID i JBOD jednocześnie.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Interfejsy sieciowe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Minimum 4 wbudowane porty Ethernet 100/1000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/s RJ-45 z funkcją Wake-On-LAN, wsparciem dla PXE, które nie zajmują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opisanych w sekcji „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rozszerzeń”.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 dwuportowa 10Gb SFP+ ze wsparciem dla: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SR-IOV, Jumbo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frames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PXE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boot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Microsoft VMQ i Intel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Virtualization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która nie zajmuje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opisanych w sekcji „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rozszerzeń”. Z kartą należy dostarczyć min. 2 kable DAC SFP+ min. 2m.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 graficzna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Zintegrowana karta graficzna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Napęd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instalacji wewnętrznego napędu DVD-ROM lub DVD-RW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Porty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1A2C95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min 4</w:t>
            </w:r>
            <w:r w:rsidR="007961FA" w:rsidRPr="00255E17">
              <w:rPr>
                <w:rFonts w:cs="Calibri"/>
                <w:color w:val="000000" w:themeColor="text1"/>
                <w:sz w:val="24"/>
                <w:szCs w:val="24"/>
              </w:rPr>
              <w:t>x USB 3.0 w tym 2 wewnętrzne.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1x VGA , 1 port szeregowy RS232 DB9.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Wewnętrzny slot na kartę micro SD lub SD.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Nie dopuszczalne jest stosowanie przejściówek ani kart PCI w celu uzyskania wymaganej powyżej ilości portów USB, micro SD, VGA, DB9.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Zainstalowana karta pamięci micro SD/FLASH 8GB.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instalacji pamięci micro SD/FLASH zapewniającej minimalną pojemność 8GB i redundancję danych RAID-1.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Zasilacz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 szt., typu Hot-plug, redundantne, każdy o mocy minimum 500W.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Chłodzenie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Zestaw wentylatorów redundantnych typu hot-plug.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Karta/moduł zarządzający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 serwerze, posiadająca minimalną funkcjonalność: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wparcie dla agentów zarządzających oraz możliwość pracy w trybie bez</w:t>
            </w:r>
            <w:r w:rsidR="00847744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agentowym – bez agentów zarządzania instalowanych w systemie operacyjnym z generowaniem alertów SNMP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dostęp do karty zarządzającej poprzez 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dedykowany port RJ45 z tyłu serwera lub 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przez współdzielony port zintegrowanej karty sieciowej serwera  </w:t>
            </w:r>
          </w:p>
          <w:p w:rsidR="007961FA" w:rsidRPr="00255E17" w:rsidRDefault="007961FA" w:rsidP="00847744">
            <w:pPr>
              <w:spacing w:after="0" w:line="240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     dostęp do karty możliwy 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 poziomu przeglądarki webowej (GUI)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lastRenderedPageBreak/>
              <w:t xml:space="preserve">z poziomu linii komend zgodnie z DMTF System Management Architecture for Server Hardware, Server Management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Command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Line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Protocol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(SM CLP)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 poziomu skryptu (XML/Perl)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poprzez interfejs IPMI 2.0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Intelligent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Platform Management Interface)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wbudowane narzędzia diagnostyczne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zdalna konfiguracji serwera(BIOS) i instalacji systemu operacyjnego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obsługa mechanizmu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remote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support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wbudowany mechanizm logowania zdarzeń serwera i karty zarządzającej w tym włączanie/wyłączanie serwera, restart, zmiany w konfiguracji, logowanie użytkowników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przesyłanie alertów poprzez e-mail oraz przekierowanie SNMP (SNMP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passthrough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obsługa zdalnego serwera logowania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remote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syslog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847744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wirtualna z</w:t>
            </w:r>
            <w:r w:rsidR="007961FA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dalna konsola, tekstowa i graficzna, z dostępem do myszy i klawiatury i możliwością podłączenia wirtualnych napędów CD/DVD i USB i </w:t>
            </w:r>
            <w:proofErr w:type="spellStart"/>
            <w:r w:rsidR="007961FA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7961FA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wirtualnych folderów 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mechanizm przechwytywania, nagrywania i odtwarzania sekwencji video dla ostatniej awarii  i ostatniego startu serwera a także nagrywanie na żądanie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funkcja zdalnej konsoli szeregowej -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Textcons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przez SSH (wirtualny port szeregowy) z funkcją nagrywania i odtwarzania sekwencji zdarzeń i aktywności 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monitorowanie zasilania oraz zużycia energii przez serwer w czasie rzeczywistym z możliwością graficznej prezentacji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konfiguracja maksymalnego poziomu pobieranej mocy przez serwer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capping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) 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zdalna aktualizacja oprogramowania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zarządzanie grupami serwerów, w tym: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tworzenie i konfiguracja grup serwerów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sterowanie zasilaniem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wł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/wył) 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ograniczenie poboru mocy dla grupy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power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caping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aktualizacja oprogramowania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wspólne wirtualne media dla grupy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możliwość równoczesnej obsługi przez 6 administratorów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autentykacja dwuskładnikowa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Kerberos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wsparcie dla Microsoft Active Directory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obsługa TLS v 1.2 i SSH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enkrypcja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AES/3DES oraz RC4 dla zdalnej konsoli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wsparcie dla IPv4 oraz iPv6, obsługa SNMP v3 oraz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RESTful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API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wsparcie dla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Integrated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Remote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Console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for Windows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clients</w:t>
            </w:r>
            <w:proofErr w:type="spellEnd"/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lastRenderedPageBreak/>
              <w:t xml:space="preserve">możliwość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autokonfiguracji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sieci karty zarządzającej (DNS/DHCP)</w:t>
            </w:r>
          </w:p>
          <w:p w:rsidR="004636BA" w:rsidRPr="00255E17" w:rsidRDefault="004636BA" w:rsidP="004636BA">
            <w:pPr>
              <w:spacing w:after="0" w:line="240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 xml:space="preserve">Wsparcie dla systemów operacyjnych i systemów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wirtualizacyjnych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Microsoft Windows Server 2012 R2, 2016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Red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Hat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Enterprise Linux (RHEL) 6.9 oraz 7.3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SUSE Linux Enterprise Server (SLES) 11 SP4 oraz 12 SP2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ClearOS</w:t>
            </w:r>
            <w:proofErr w:type="spellEnd"/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CentOS</w:t>
            </w:r>
            <w:proofErr w:type="spellEnd"/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6.0 U3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6.5 oraz U1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6.7</w:t>
            </w:r>
          </w:p>
          <w:p w:rsidR="004636BA" w:rsidRPr="00255E17" w:rsidRDefault="004636BA" w:rsidP="004636BA">
            <w:p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oferowanego serwera.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 ramach świadczonego serwisu Wykonawca zapewni dostęp do portali internetowych producenta sprzętu zawierających narzędzia wsparcia elektronicznego. W szczególności narzędzia te muszą umożliwiać: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przeszukiwanie bazy wiedzy producenta dotyczącej sprzętu i oprogramowania objętego wsparciem technicznym,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pobieranie poprawek i nowych wersji oprogramowania objętego serwisem,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uzyskiwanie informacji o statusie umowy serwisowej oraz o urządzeniach nią objętych. Procedury dotyczące dokonywania zgłoszeń serwisowych, statusu napraw, opis procedury śledzenia zgłoszenia i eskalacji Wykonawca przedstawi Zamawiającemu w dniu podpisania umowy.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zapewni Zamawiającemu bezpośredni dostęp do laboratoriów producenta sprzętu umożliwiający zlecenie wykonania modyfikacji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objętego serwisem, jeżeli jest to konieczne dla rozwiązania problemu technicznego. Modyfikacja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nie może naruszać praw autorskich i licencyjnych producenta.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wykona aktualizację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w nie rzadziej niż jeden raz na 12 miesięcy za pomocą aktualnych narzędzi aktualizujących do wersji uzgodnionej z Zamawiającym.</w:t>
            </w:r>
          </w:p>
          <w:p w:rsidR="004636BA" w:rsidRPr="00255E17" w:rsidRDefault="004636B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oferowanego serwera. Uszkodzone dyski pozostają u Zamawiającego.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Zainstalowany system operacyjny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Microsoft Windows Server 2016 (16-Core) Standard</w:t>
            </w:r>
          </w:p>
        </w:tc>
      </w:tr>
      <w:tr w:rsidR="007961FA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Wymagane są dokumenty poświadczające, że sprzęt jest produkowany zgodnie z normami ISO 9001 oraz ISO 14001.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Deklaracja zgodności CE.</w:t>
            </w:r>
          </w:p>
        </w:tc>
      </w:tr>
    </w:tbl>
    <w:p w:rsidR="007961FA" w:rsidRPr="00255E17" w:rsidRDefault="007961FA" w:rsidP="00847744">
      <w:pPr>
        <w:rPr>
          <w:color w:val="000000" w:themeColor="text1"/>
        </w:rPr>
      </w:pPr>
    </w:p>
    <w:p w:rsidR="007961FA" w:rsidRPr="00255E17" w:rsidRDefault="007961FA" w:rsidP="0084774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 xml:space="preserve">Macierz dyskowa 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255E17" w:rsidRPr="00255E17" w:rsidTr="00967E22">
        <w:trPr>
          <w:trHeight w:val="2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Element konfiguracji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Wymagania minimalne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Typ obudowy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być przystosowana do montażu w szafie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19”, o wysokość maksymalnie </w:t>
            </w:r>
            <w:r w:rsidR="001A2C95">
              <w:rPr>
                <w:rFonts w:cs="Calibri"/>
                <w:color w:val="000000" w:themeColor="text1"/>
                <w:sz w:val="24"/>
                <w:szCs w:val="24"/>
              </w:rPr>
              <w:t>4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Przestrzeń dyskowa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być wyposażona w minimum 4 dyski SSD o pojemności minimum 800GB 1&lt;DWPD&lt;10, </w:t>
            </w:r>
            <w:r w:rsidR="00E338AB" w:rsidRPr="00255E17">
              <w:rPr>
                <w:rFonts w:cs="Calibri"/>
                <w:color w:val="000000" w:themeColor="text1"/>
                <w:sz w:val="24"/>
                <w:szCs w:val="24"/>
              </w:rPr>
              <w:t>8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dysków min. 600GB w technologii SAS i prędkości obrotowej min. 10k obr/min, </w:t>
            </w:r>
            <w:r w:rsidR="00E338AB" w:rsidRPr="00255E17">
              <w:rPr>
                <w:rFonts w:cs="Calibri"/>
                <w:color w:val="000000" w:themeColor="text1"/>
                <w:sz w:val="24"/>
                <w:szCs w:val="24"/>
              </w:rPr>
              <w:t>8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dysków min. 4TB w technologii SAS i prędkości obrotowej min. 7,2k obr/min.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rozbudowy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rozbudowę (bez wymiany kontrolerów macierzy), do co najmniej 190 dysków twardych.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Obsługa dysków</w:t>
            </w:r>
          </w:p>
          <w:p w:rsidR="007961FA" w:rsidRPr="00255E17" w:rsidRDefault="007961FA" w:rsidP="00847744">
            <w:pPr>
              <w:tabs>
                <w:tab w:val="left" w:pos="1620"/>
              </w:tabs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obsługiwać dyski SSD, SAS i NL SAS. Macierz musi umożliwiać mieszanie napędów dyskowych SSD, SAS i NL SAS w obrębie pojedynczej półki dyskowej. Macierz musi obsługiwać dyski 2,5” jak również 3,5”.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Sposób zabezpieczenia danych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obsługiwać mechanizmy RAID zgodne z RAID1, RAID10, RAID5 oraz RAID6 realizowane sprzętowo za pomocą dedykowanego układu, z możliwością dowolnej ich kombinacji w obrębie oferowanej macierzy i z wykorzystaniem wszystkich dysków twardych (tzw.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wide-striping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definiowanie globalnych dysków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spare</w:t>
            </w:r>
            <w:proofErr w:type="spellEnd"/>
            <w:r w:rsidR="002B7372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Tryb pracy kontrolerów macierzowych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posiadać minimum 2 kontrolery macierzowe pracujące w trybie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active-active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i udostępniające jednocześnie dane blokowe po protokole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iSCSI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z możliwością rozbudowy o porty FC. Kontrolery muszą komunikować się między sobą bez stosowania dodatkowych przełączników lub koncentratorów FC i LAN.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Pamięć cache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Każdy kontroler macierzowy musi być wyposażony w minimum </w:t>
            </w:r>
            <w:r w:rsidR="002B7372">
              <w:rPr>
                <w:rFonts w:cs="Calibri"/>
                <w:color w:val="000000" w:themeColor="text1"/>
                <w:sz w:val="24"/>
                <w:szCs w:val="24"/>
              </w:rPr>
              <w:t>8</w:t>
            </w:r>
            <w:r w:rsidR="002B7372" w:rsidRPr="00255E17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GB pamięci cache, </w:t>
            </w:r>
            <w:r w:rsidR="002B7372">
              <w:rPr>
                <w:rFonts w:cs="Calibri"/>
                <w:color w:val="000000" w:themeColor="text1"/>
                <w:sz w:val="24"/>
                <w:szCs w:val="24"/>
              </w:rPr>
              <w:t>16</w:t>
            </w:r>
            <w:r w:rsidR="002B7372" w:rsidRPr="00255E17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GB sumarycznie w macierzy. Pamięć cache musi być zbudowana w oparciu o wydajną pamięć typu RAM.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Pamięć zapisu musi być mirrorowana (kopie lustrzane) pomiędzy kontrolerami dyskowymi.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Dane niezapisane na dyskach (np. zawartość pamięci kontrolera) muszą zostać zabezpieczone w przypadku awarii zasilania za pomocą podtrzymania bateryjnego lub z zastosowaniem innej technologii przez okres minimum 5 lat.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Rozbudowa pamięci cache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zwiększenie pojemności pamięci cache dla odczytów do minimum 8 TB z wykorzystaniem dysków SSD lub kart pamięci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flash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Interfejsy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posiadać, co najmniej </w:t>
            </w:r>
            <w:r w:rsidR="008435E1" w:rsidRPr="00255E17">
              <w:rPr>
                <w:rFonts w:cs="Calibri"/>
                <w:color w:val="000000" w:themeColor="text1"/>
                <w:sz w:val="24"/>
                <w:szCs w:val="24"/>
              </w:rPr>
              <w:t>8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porty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iSCSI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10Gb obsadzone wkładkami SFP.</w:t>
            </w:r>
            <w:r w:rsidR="0033340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Wymagana jest </w:t>
            </w:r>
            <w:r w:rsidR="008435E1" w:rsidRPr="00255E17">
              <w:rPr>
                <w:rFonts w:cs="Calibri"/>
                <w:color w:val="000000" w:themeColor="text1"/>
                <w:sz w:val="24"/>
                <w:szCs w:val="24"/>
              </w:rPr>
              <w:t>możliwość zastąpienia</w:t>
            </w:r>
            <w:r w:rsidR="0033340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4 portów </w:t>
            </w:r>
            <w:proofErr w:type="spellStart"/>
            <w:r w:rsidR="00333404" w:rsidRPr="00255E17">
              <w:rPr>
                <w:rFonts w:cs="Calibri"/>
                <w:color w:val="000000" w:themeColor="text1"/>
                <w:sz w:val="24"/>
                <w:szCs w:val="24"/>
              </w:rPr>
              <w:t>iSCSI</w:t>
            </w:r>
            <w:proofErr w:type="spellEnd"/>
            <w:r w:rsidR="008435E1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4 port</w:t>
            </w:r>
            <w:r w:rsidR="008435E1" w:rsidRPr="00255E17">
              <w:rPr>
                <w:rFonts w:cs="Calibri"/>
                <w:color w:val="000000" w:themeColor="text1"/>
                <w:sz w:val="24"/>
                <w:szCs w:val="24"/>
              </w:rPr>
              <w:t>ami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FC 16Gb.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Zarządzanie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Zarządzanie macierzą musi być możliwe z poziomu interfejsu graficznego i interfejsu znakowego. Zarządzanie macierzą musi odbywać się bezpośrednio na kontrolerach macierzy z poziomu przeglądarki internetowej.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Zarządzanie grupami dyskowymi oraz dyskami logicznymi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zdefiniowanie, co najmniej 500 wolumenów logicznych w ramach oferowanej macierzy dyskowej.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Musi istnieć możliwość rozłożenia pojedynczego wolumenu logicznego na wszystkie dyski fizyczne macierzy (tzw.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wide-striping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), bez konieczności łączenia wielu różnych dysków logicznych w jeden większy.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Thin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Provisioning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udostępnianie zasobów dyskowych do serwerów w trybie tradycyjnym, jak i w trybie typu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Thin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Provisioning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odzyskiwanie przestrzeni dyskowych po usuniętych danych w ramach wolumenów typu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Thin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 Proces odzyskiwania danych musi być automatyczny bez konieczności uruchamiania dodatkowych procesów na kontrolerach macierzowych (wymagana obsługa standardu T10 SCSI UNMAP).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Wewnętrzne kopie migawkowe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Macierz musi umożliwiać dokonywania na żądanie tzw. migawkowej kopii danych (</w:t>
            </w:r>
            <w:proofErr w:type="spellStart"/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snapshot</w:t>
            </w:r>
            <w:proofErr w:type="spellEnd"/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, point-in-</w:t>
            </w:r>
            <w:proofErr w:type="spellStart"/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time</w:t>
            </w:r>
            <w:proofErr w:type="spellEnd"/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) w ramach macierzy za pomocą wewnętrznych kontrolerów macierzowych. Kopia migawkowa wykonuje się bez alokowania dodatkowej przestrzeni dyskowej na potrzeby kopii. Zajmowanie dodatkowej przestrzeni dyskowej następuje w momencie zmiany danych na dysku źródłowym lub na jego kopii.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Macierz musi wspierać minimum 512 kopii migawkowych.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Jeżeli do obsługi powyższych funkcjonalności wymagane są dodatkowe licencje, należy je dostarczyć dla całej pojemności urządzenia.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Wewnętrzne kopie pełne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dokonywanie na żądanie pełnej fizycznej kopii danych (clone) w ramach macierzy za pomocą wewnętrznych kontrolerów macierzowych.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Migracja danych w obrębie macierzy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dyskowa musi umożliwiać migrację danych bez przerywania do nich dostępu pomiędzy różnymi warstwami technologii dyskowych na poziomie części wolumenów logicznych (ang.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Sub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-LUN). Zmiany te muszą się odbywać wewnętrznymi mechanizmami macierzy. Funkcjonalność musi umożliwiać zdefiniowanie zasobu LUN, który fizycznie będzie znajdował się na min. 3 typach dysków obsługiwanych przez macierz, a jego części będą realokowane na podstawie analizy ruchu w sposób automatyczny i transparentny (bez przerywania dostępu do danych) dla korzystających z tego wolumenu hostów. Zmiany te muszą się odbywać wewnętrznymi mechanizmami macierzy. </w:t>
            </w: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Zdalna replikacja danych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asynchroniczną replikację danych do innej macierzy z tej samej rodziny. Replikacja musi być wykonywana na poziomie kontrolerów, bez użycia dodatkowych serwerów lub innych urządzeń i bez obciążania serwerów podłączonych do macierzy.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Podłączanie zewnętrznych systemów operacyjnych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jednoczesne podłączenie wielu serwerów w trybie wysokiej dostępności (co najmniej dwoma ścieżkami).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wspierać podłączenie następujących systemów operacyjnych: Windows, Linux,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Dla wymienionych systemów operacyjnych należy dostarczyć oprogramowanie do przełączania ścieżek i równoważenia obciążenia poszczególnych ścieżek. Wymagane jest oprogramowanie dla nielimitowanej liczby serwerów. Dopuszcza się rozwiązania bazujące na natywnych możliwościach systemów operacyjnych.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Jeżeli do obsługi powyższych funkcjonalności wymagane są dodatkowe licencje, należy je dostarczyć dla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maksymalnej liczby serwerów obsługiwanych przez oferowane urządzenie.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Redundancja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Macierz musi umożliwiać wymianę elementów systemu w trybie „hot-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swap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”, a w szczególności takich, jak: dyski, kontrolery, zasilacze, wentylatory.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Macierz musi mieć możliwość zasilania z dwu niezależnych źródeł zasilania – odporność na zanik zasilania jednej fazy lub awarię jednego z zasilaczy macierzy.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Dodatkowe wymagania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Oferowany system dyskowy musi się składać z pojedynczej macierzy dyskowej. Niedopuszczalna jest realizacja zamówienia poprzez dostarczenie wielu macierzy dyskowych. Za pojedynczą macierz nie uznaje się rozwiązania opartego o wiele macierzy dyskowych (par kontrolerów macierzowych) połączonych przełącznikami SAN lub tzw.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wirtualizatorem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sieci SAN czy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wirtualizatorem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macierzy dyskowych.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oferowanej macierzy dyskowej.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Uszkodzone nośniki danych (dyski twarde) pozostają u Zamawiającego.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 ramach świadczonego serwisu Wykonawca zapewni dostęp do portali internetowych producenta sprzętu zawierających narzędzia wsparcia elektronicznego. W szczególności narzędzia te muszą umożliwiać: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przeszukiwanie bazy wiedzy producenta dotyczącej sprzętu i oprogramowania objętego wsparciem technicznym,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pobieranie poprawek i nowych wersji oprogramowania objętego serwisem,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uzyskiwanie informacji o statusie umowy serwisowej oraz o urządzeniach nią objętych. Procedury dotyczące dokonywania zgłoszeń serwisowych, statusu napraw, opis procedury śledzenia zgłoszenia i eskalacji Wykonawca przedstawi Zamawiającemu w dniu podpisania umowy.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zapewni Zamawiającemu bezpośredni dostęp do laboratoriów producenta sprzętu umożliwiający zlecenie wykonania modyfikacji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objętego serwisem, jeżeli jest to konieczne dla rozwiązania problemu technicznego. Modyfikacja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nie może naruszać praw autorskich i licencyjnych producenta.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wykona aktualizację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w nie rzadziej niż jeden raz na 12 miesięcy za pomocą aktualnych narzędzi aktualizujących do wersji uzgodnionej z Zamawiającym.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Urządzenia muszą być zakupione w oficjalnym kanale dystrybucyjnym producenta. Na żądanie Zamawiającego, Wykonawca musi przedstawić oświadczenie producenta oferowanego serwera,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potwierdzające pochodzenie urządzenia z oficjalnego kanału dystrybucyjnego producenta.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Wymagane są dokumenty poświadczające, że sprzęt jest produkowany zgodnie z normami ISO 9001 oraz ISO 14001.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Deklaracja zgodności CE.</w:t>
            </w:r>
          </w:p>
        </w:tc>
      </w:tr>
    </w:tbl>
    <w:p w:rsidR="007961FA" w:rsidRPr="00255E17" w:rsidRDefault="007961FA" w:rsidP="00847744">
      <w:pPr>
        <w:rPr>
          <w:color w:val="000000" w:themeColor="text1"/>
        </w:rPr>
      </w:pPr>
    </w:p>
    <w:p w:rsidR="00D5600F" w:rsidRPr="00255E17" w:rsidRDefault="00D15BE6" w:rsidP="0084774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Serwer  do wykonywania kopii zapasowej i odtwarzania</w:t>
      </w:r>
    </w:p>
    <w:tbl>
      <w:tblPr>
        <w:tblW w:w="9610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7110"/>
      </w:tblGrid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Wymagania minimalne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Maksymalnie 2U RACK 19 cali (wraz z szynami montażowymi oraz ramieniem do prowadzenia kabli, umożliwiającymi serwisowanie serwera w szafie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bez wyłączania urządzenia)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wyposażony w zamykany, zdejmowany panel przedni chroniący przed nieuprawionym dostępem do dysków.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Procesor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Zainstalowane 2 procesory ośmiordzeniowe, x86 - 64 bity, Intel Xeon 4110 (2.1GHz/8-core/11MB/85W) lub równoważne procesory maksymalnie ośmiordzeniowe, osiągające w testach SPECint_rate2006 Base wynik nie gorszy niż 700 punktów dla testu przy 2 procesorach. W przypadku zaoferowania procesora równoważnego, wynik testu musi być opublikowany na stronie </w:t>
            </w:r>
            <w:hyperlink r:id="rId8" w:history="1">
              <w:r w:rsidRPr="00255E17">
                <w:rPr>
                  <w:rFonts w:cs="Calibri"/>
                  <w:color w:val="000000" w:themeColor="text1"/>
                  <w:sz w:val="24"/>
                  <w:szCs w:val="24"/>
                  <w:u w:val="single"/>
                </w:rPr>
                <w:t>www.spec.org</w:t>
              </w:r>
            </w:hyperlink>
            <w:r w:rsidRPr="00255E17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.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Wynik testu należy dostarczyć wraz z ofertą. Wynik testu przeprowadzony i opublikowany dla konfiguracji 2 procesorowej dla oferowanego modelu serwera.  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Płyta główna wspierająca zastosowanie procesorów od 4 do 28 rdzeniowych, mocy do min. 205W i taktowaniu CPU do min. 3.6GHz.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Liczba procesorów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Min. 2 procesory. 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Pamięć operacyjna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128 GB RDIMM DDR4 2666 MT/s w modułach o pojemności 32GB każdy.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Płyta główna musi posiadać 24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na pamięć i umożliwiać rozbudowę do minimum 3TB LRDIMM.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Obsługa zabezpieczeń: Advanced ECC i Online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Spare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z możliwością obsługi pamięci typu NVDIMM do 192GB.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5 aktywnych gniazd PCI-Express generacji 3 działających z prędkością slotu x16 (szybkość slotu –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bus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width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), każdy pełnej wysokości i długości.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Dysk twardy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Obudowa gotowa na zainstalowanie 12 dysków LFF typu Hot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Swap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 SAS/SATA/SSD, 3,5” z możliwością rozbudowy do 15 dysków LFF.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Zainstalowane 4 dyski twarde 2TB 7,2k SAS LFF 12Gb.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Serwer umożliwiający instalację pamięci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flash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 postaci kart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microSD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/SD zapewniających minimalną pojemność 8GB i redundancję danych RAID-1. Zastosowane rozwiązanie musi posiadać gwarancję producenta serwera.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Kontroler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wyposażony w kontroler sprzętowy z min. 2GB cache z mechanizmem podtrzymywania zawartości pamięci cache w razie braku zasilania, zapewniający obsługę 24 napędów dyskowych SAS oraz obsługujący poziomy: RAID 0/1/10/5/50/6/60.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umożliwiający rozbudowę o sprzętowy kontroler RAID zapewniający obsługę RAID 0/1/10/5/50/6/60 z 4GB pamięci cache z podtrzymywaniem bateryjnym.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 umożliwiający pracę z dyskami w trybach RAID i JBOD jednocześnie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Interfejsy sieciowe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Minimum 4 wbudowane porty Ethernet 100/1000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/s RJ-45 z funkcją Wake-On-LAN, wsparciem dla PXE, które nie zajmują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opisanych w sekcji „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rozszerzeń”.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 dwuportowa 10Gb SFP+ ze wsparciem dla: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SR-IOV, Jumbo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frames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PXE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boot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Microsoft VMQ i Intel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Virtualization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która nie zajmuje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opisanych w sekcji „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rozszerzeń”. Z kartą należy dostarczyć min. 2 kable DAC SFP+ min. 2m.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 SAS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 SAS 12Gb/s z 2 portami i kablem min. 2m SAS do podłączenia biblioteki SAS LTO.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 graficzna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Zintegrowana karta graficzna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Napęd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instalacji wewnętrznego lub zewnętrznego napędu DVD-ROM lub DVD-RW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Porty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2B7372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Min 4</w:t>
            </w:r>
            <w:r w:rsidR="00D5600F" w:rsidRPr="00255E17">
              <w:rPr>
                <w:rFonts w:cs="Calibri"/>
                <w:color w:val="000000" w:themeColor="text1"/>
                <w:sz w:val="24"/>
                <w:szCs w:val="24"/>
              </w:rPr>
              <w:t>x USB 3.0 w tym 2 wewnętrzne.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1x VGA, 1 port szeregowy RS232 DB9.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Wewnętrzny slot na kartę micro SD lub SD.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Zainstalowana karta pamięci micro SD/FLASH 8GB.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instalacji pamięci micro SD/FLASH zapewniającej minimalną pojemność 8GB i redundancję danych RAID-1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Nie dopuszczalne jest stosowanie przejściówek ani kart PCI w celu uzyskania wymaganej powyżej ilości portów USB, micro SD, VGA, DB9.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Zasilacz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 szt., typu Hot-plug, redundantne, każdy o mocy minimum 500W.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Chłodzenie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Zestaw wentylatorów redundantnych typu hot-plug.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Karta/moduł zarządzający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 serwerze, posiadająca minimalną funkcjonalność: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wparcie dla agentów zarządzających oraz możliwość pracy w trybie bez</w:t>
            </w:r>
            <w:r w:rsidR="00847744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agentowym – bez agentów zarządzania </w:t>
            </w: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lastRenderedPageBreak/>
              <w:t>instalowanych w systemie operacyjnym z generowaniem alertów SNMP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dostęp do karty zarządzającej poprzez 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dedykowany port RJ45 z tyłu serwera lub 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przez współdzielony port zintegrowanej karty sieciowej serwera  </w:t>
            </w:r>
          </w:p>
          <w:p w:rsidR="00D5600F" w:rsidRPr="00255E17" w:rsidRDefault="00D5600F" w:rsidP="00847744">
            <w:pPr>
              <w:spacing w:after="0" w:line="240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     dostęp do karty możliwy 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 poziomu przeglądarki webowej (GUI)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z poziomu linii komend zgodnie z DMTF System Management Architecture for Server Hardware, Server Management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Command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Line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Protocol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(SM CLP)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 poziomu skryptu (XML/Perl)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poprzez interfejs IPMI 2.0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Intelligent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Platform Management Interface)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wbudowane narzędzia diagnostyczne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zdalna konfiguracji serwera(BIOS) i instalacji systemu operacyjnego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obsługa mechanizmu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remote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support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- automatyczne połączenie karty z serwisem producenta sprzętu, automatyczne przesyłanie alertów, zgłoszeń serwisowych i zdalne monitorowanie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wbudowany mechanizm logowania zdarzeń serwera i karty zarządzającej w tym włączanie/wyłączanie serwera, restart, zmiany w konfiguracji, logowanie użytkowników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przesyłanie alertów poprzez e-mail oraz przekierowanie SNMP (SNMP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passthrough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obsługa zdalnego serwera logowania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remote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syslog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847744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wirtualna z</w:t>
            </w:r>
            <w:r w:rsidR="00D5600F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dalna konsola, tekstowa i graficzna, z dostępem do myszy i klawiatury i możliwością podłączenia wirtualnych napędów CD/DVD i USB i wirtualnych folderów 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mechanizm przechwytywania, nagrywania i odtwarzania sekwencji video dla ostatniej awarii i ostatniego startu serwera a także nagrywanie na żądanie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funkcja zdalnej konsoli szeregowej -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Textcons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przez SSH (wirtualny port szeregowy) z funkcją nagrywania i odtwarzania sekwencji zdarzeń i aktywności 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monitorowanie zasilania oraz zużycia energii przez serwer w czasie rzeczywistym z możliwością graficznej prezentacji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konfiguracja maksymalnego poziomu pobieranej mocy przez serwer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capping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) 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zdalna aktualizacja oprogramowania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zarządzanie grupami serwerów, w tym: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tworzenie i konfiguracja grup serwerów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sterowanie zasilaniem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wł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/wył) 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ograniczenie poboru mocy dla grupy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power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caping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aktualizacja oprogramowania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wspólne wirtualne media dla grupy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możliwość równoczesnej obsługi przez 6 administratorów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lastRenderedPageBreak/>
              <w:t>autentykacja dwuskładnikowa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Kerberos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wsparcie dla Microsoft Active Directory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obsługa TLS v 1.2 i SSH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enkrypcja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AES/3DES oraz RC4 dla zdalnej konsoli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wsparcie dla IPv4 oraz iPv6, obsługa SNMP v3 oraz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RESTful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API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wsparcie dla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Integrated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Remote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Console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for Windows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clients</w:t>
            </w:r>
            <w:proofErr w:type="spellEnd"/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możliwość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autokonfiguracji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sieci karty zarządzającej (DNS/DHCP)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 xml:space="preserve">Wsparcie dla systemów operacyjnych i systemów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wirtualizacyjnych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Microsoft Windows Server 2012 R2, 2016</w:t>
            </w:r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Red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Hat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Enterprise Linux (RHEL) 6.9 oraz 7.3</w:t>
            </w:r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SUSE Linux Enterprise Server (SLES) 11 SP4 oraz 12 SP2</w:t>
            </w:r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ClearOS</w:t>
            </w:r>
            <w:proofErr w:type="spellEnd"/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CentOS</w:t>
            </w:r>
            <w:proofErr w:type="spellEnd"/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6.0 U3</w:t>
            </w:r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6.5 oraz U1</w:t>
            </w:r>
          </w:p>
          <w:p w:rsidR="00967E22" w:rsidRPr="00255E17" w:rsidRDefault="00D5600F" w:rsidP="004636BA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6.7</w:t>
            </w:r>
          </w:p>
          <w:p w:rsidR="004636BA" w:rsidRPr="00255E17" w:rsidRDefault="004636BA" w:rsidP="004636BA">
            <w:p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oferowanego serwera.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 ramach świadczonego serwisu Wykonawca zapewni dostęp do portali internetowych producenta sprzętu zawierających narzędzia wsparcia elektronicznego. W szczególności narzędzia te muszą umożliwiać: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przeszukiwanie bazy wiedzy producenta dotyczącej sprzętu i oprogramowania objętego wsparciem technicznym,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pobieranie poprawek i nowych wersji oprogramowania objętego serwisem,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uzyskiwanie informacji o statusie umowy serwisowej oraz o urządzeniach nią objętych. Procedury dotyczące dokonywania zgłoszeń serwisowych, statusu napraw, opis procedury śledzenia zgłoszenia i eskalacji Wykonawca przedstawi Zamawiającemu w dniu podpisania umowy.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zapewni Zamawiającemu bezpośredni dostęp do laboratoriów producenta sprzętu umożliwiający zlecenie wykonania modyfikacji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objętego serwisem, jeżeli jest to konieczne dla rozwiązania problemu technicznego. Modyfikacja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nie może naruszać praw autorskich i licencyjnych producenta.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wykona aktualizację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w nie rzadziej niż jeden raz na 12 miesięcy za pomocą aktualnych narzędzi aktualizujących do wersji uzgodnionej z Zamawiającym.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Zainstalowany system operacyjny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Microsoft Windows Server 2016 (16-Core) Standard</w:t>
            </w:r>
          </w:p>
        </w:tc>
      </w:tr>
      <w:tr w:rsidR="00D5600F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Wymagane są dokumenty poświadczające, że sprzęt jest produkowany zgodnie z normami ISO 9001 oraz ISO 14001.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Deklaracja zgodności CE.</w:t>
            </w:r>
          </w:p>
        </w:tc>
      </w:tr>
    </w:tbl>
    <w:p w:rsidR="00967E22" w:rsidRPr="00255E17" w:rsidRDefault="00967E22" w:rsidP="00847744">
      <w:pPr>
        <w:rPr>
          <w:color w:val="000000" w:themeColor="text1"/>
        </w:rPr>
      </w:pPr>
    </w:p>
    <w:p w:rsidR="00D5600F" w:rsidRPr="00255E17" w:rsidRDefault="00D5600F" w:rsidP="0084774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Napęd taśmowy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255E17" w:rsidRPr="00255E17" w:rsidTr="00967E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Element konfiguracji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Wymagania minimalne</w:t>
            </w:r>
          </w:p>
        </w:tc>
      </w:tr>
      <w:tr w:rsidR="00255E17" w:rsidRPr="00255E17" w:rsidTr="00967E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Obudowa przeznaczona do montażu w szafie przemysłowej 19”. Wysokość biblioteki nie może przekraczać 2U.</w:t>
            </w:r>
          </w:p>
        </w:tc>
      </w:tr>
      <w:tr w:rsidR="00255E17" w:rsidRPr="00255E17" w:rsidTr="00967E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Obsługiwane napędy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Obsługa napędów LTO-5, LTO-6, LTO-7 oraz LTO-8.</w:t>
            </w:r>
          </w:p>
        </w:tc>
      </w:tr>
      <w:tr w:rsidR="00255E17" w:rsidRPr="00255E17" w:rsidTr="00967E22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Zainstalowane napędy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2 napędy LTO-6. </w:t>
            </w:r>
          </w:p>
        </w:tc>
      </w:tr>
      <w:tr w:rsidR="00255E17" w:rsidRPr="00255E17" w:rsidTr="00967E22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Sposób pracy napędu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Napęd taśmowy musi być wyposażony w mechanizm dostosowujący automatycznie oraz płynnie prędkość przesuwu taśmy magnetycznej do wartości strumienia danych przekazywanego do napędu w zakresie co najmniej </w:t>
            </w:r>
            <w:r w:rsidR="002B7372">
              <w:rPr>
                <w:rFonts w:cs="Calibri"/>
                <w:color w:val="000000" w:themeColor="text1"/>
                <w:sz w:val="24"/>
                <w:szCs w:val="24"/>
              </w:rPr>
              <w:t>54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-160 MB/s.</w:t>
            </w:r>
          </w:p>
        </w:tc>
      </w:tr>
      <w:tr w:rsidR="00255E17" w:rsidRPr="00255E17" w:rsidTr="00967E22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4636B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Pojemność kasety bez kompresji (z kompresją 2,5:1)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2,5 TB (6,25 TB)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Zabezpieczenie danych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Obsługa sprzętowego szyfrowania danych w standardzie AES 256-bit dla napędów LTO-5, LTO-6, LTO-7 i LTO-8.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Sprzętowe rozwiązanie (np. klucz USB lub dedykowane urządzenie) umożliwiające przechowywanie kluczy szyfrujących w sposób redundantny (dwie niezależne kopie kluczy).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Liczba slotów na kasety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Sposób obsługi wymiany taśm w bibliotece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Oferowana biblioteka taśmowa musi posiadać możliwość konfiguracji tzw. „mail slot” umożliwiającego wymianę taśm bez konieczności wyjmowania z biblioteki całego magazynka z taśmami.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Połączenie z serwerami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Interfejs SAS 6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/s.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Dodatkowe funkcjonalności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stosowania taśm typu WORM.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Mechanizm automatycznego czyszczenia głowic, brak konieczności cyklicznej obsługi konserwacyjnej przez personel techniczny.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Oferowana biblioteka musi być wyposażona w czytnik kodów kreskowych.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Taśmy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24 taśmy LTO-6 z nalepkami z kodami kreskowymi oraz 1 taśma czyszcząca.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Oprogramowanie zarządzające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Umożliwiające monitorowanie stanu biblioteki i napędów, konfigurację, prowadzenie statystyk oraz diagnostykę. Możliwość monitorowania i konfiguracji biblioteki poprzez interfejs przeglądarki internetowej. Wsparcie dla protokołu SNMP.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Niezawodność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Parametr MSBF (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mean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swaps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between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failures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 o wartości 2 000 000 dla pełnych cykli „załaduj/wyładuj”.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Parametr MTBF (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mean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time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between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failures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 o wartości 100 000 godzin.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Kompatybilność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Oferowana biblioteka taśmowa musi posiadać wsparcie dla następującego oprogramowania służącego do tworzenia kopii bezpieczeństwa: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Computer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Associates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BrightStor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ARCserve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Micro Focus Data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Protector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Legato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NetWorker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IBM Spectrum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Protectec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Symantec Backup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Exec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Veritas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NetBackup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oferowanej biblioteki taśmowej.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 ramach świadczonego serwisu Wykonawca zapewni dostęp do portali internetowych producenta sprzętu zawierających narzędzia wsparcia elektronicznego. W szczególności narzędzia te muszą umożliwiać: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przeszukiwanie bazy wiedzy producenta dotyczącej sprzętu i oprogramowania objętego wsparciem technicznym,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pobieranie poprawek i nowych wersji oprogramowania objętego serwisem,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uzyskiwanie informacji o statusie umowy serwisowej oraz o urządzeniach nią objętych. Procedury dotyczące dokonywania zgłoszeń serwisowych, statusu napraw, opis procedury śledzenia zgłoszenia i eskalacji Wykonawca przedstawi Zamawiającemu w dniu podpisania umowy.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zapewni Zamawiającemu bezpośredni dostęp do laboratoriów producenta sprzętu umożliwiający zlecenie wykonania modyfikacji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objętego serwisem, jeżeli jest to konieczne dla rozwiązania problemu technicznego. Modyfikacja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nie może naruszać praw autorskich i licencyjnych producenta.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wykona aktualizację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w nie rzadziej niż jeden raz na 12 miesięcy za pomocą aktualnych narzędzi aktualizujących do wersji uzgodnionej z Zamawiającym.</w:t>
            </w:r>
          </w:p>
        </w:tc>
      </w:tr>
      <w:tr w:rsidR="00D5600F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Inne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Wymagane są dokumenty poświadczające, że sprzęt jest produkowany zgodnie z normami ISO 9001 oraz ISO 14001.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Deklaracja zgodności CE.</w:t>
            </w:r>
          </w:p>
        </w:tc>
      </w:tr>
    </w:tbl>
    <w:p w:rsidR="00D5600F" w:rsidRPr="00255E17" w:rsidRDefault="00D5600F" w:rsidP="00847744">
      <w:pPr>
        <w:rPr>
          <w:color w:val="000000" w:themeColor="text1"/>
        </w:rPr>
      </w:pPr>
    </w:p>
    <w:p w:rsidR="003E0ECB" w:rsidRPr="00255E17" w:rsidRDefault="003E0ECB" w:rsidP="0084774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Przełącznik rdzeniowy</w:t>
      </w:r>
      <w:r w:rsidR="00A77822" w:rsidRPr="00255E1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Przełącznik o budowie modularnej pozwalającej na instalację minimum 144 portów gigabitowych, 48 portów 10-gigabitowych SFP+, 48 portów miedzianych 1/2,5/5/10-gigabitowych z negocjacją prędkości oraz obsługą standardu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+, 12 portów 40-gigabitowych lub ich kombinacji.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musi posiadać moduł zarządzający wyposażony w minimum 1GB pamięci stałej (typu Flash) oraz minimum 4GB pamięci operacyjnej (typu RAM) oraz możliwość instalacji drugiego, redundantnego modułu to takich samych parametrach jak moduł podstawowy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wyposażony w:</w:t>
      </w:r>
    </w:p>
    <w:p w:rsidR="00642760" w:rsidRPr="00255E17" w:rsidRDefault="00642760" w:rsidP="00847744">
      <w:pPr>
        <w:numPr>
          <w:ilvl w:val="0"/>
          <w:numId w:val="7"/>
        </w:numPr>
        <w:spacing w:after="0" w:line="276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Minimum 2</w:t>
      </w:r>
      <w:r w:rsidR="00333404" w:rsidRPr="00255E17">
        <w:rPr>
          <w:rFonts w:eastAsia="Times New Roman" w:cs="Calibri"/>
          <w:color w:val="000000" w:themeColor="text1"/>
          <w:sz w:val="24"/>
          <w:szCs w:val="24"/>
        </w:rPr>
        <w:t>0</w:t>
      </w: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porty 100BaseTX/1000BaseT ze wsparciem dla standardu 802.3at (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+)</w:t>
      </w:r>
    </w:p>
    <w:p w:rsidR="00642760" w:rsidRPr="00255E17" w:rsidRDefault="00642760" w:rsidP="00847744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Minimum </w:t>
      </w:r>
      <w:r w:rsidR="00333404" w:rsidRPr="00255E17">
        <w:rPr>
          <w:rFonts w:eastAsia="Times New Roman" w:cs="Calibri"/>
          <w:color w:val="000000" w:themeColor="text1"/>
          <w:sz w:val="24"/>
          <w:szCs w:val="24"/>
        </w:rPr>
        <w:t xml:space="preserve">12 </w:t>
      </w: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portów 10-gigabitowymi SFP+ pozwalających na instalację wkładek 10Gb (SFP+) i Gigabitowych (SFP), wyposażonych w: </w:t>
      </w:r>
    </w:p>
    <w:p w:rsidR="00642760" w:rsidRPr="00255E17" w:rsidRDefault="00630C2D" w:rsidP="00847744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8</w:t>
      </w:r>
      <w:r w:rsidR="00642760" w:rsidRPr="00255E17">
        <w:rPr>
          <w:rFonts w:eastAsia="Times New Roman" w:cs="Calibri"/>
          <w:color w:val="000000" w:themeColor="text1"/>
          <w:sz w:val="24"/>
          <w:szCs w:val="24"/>
        </w:rPr>
        <w:t xml:space="preserve"> wkładek SFP+ w standardzie 10GBaseLR </w:t>
      </w:r>
    </w:p>
    <w:p w:rsidR="00642760" w:rsidRPr="00255E17" w:rsidRDefault="00630C2D" w:rsidP="00847744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4</w:t>
      </w:r>
      <w:r w:rsidR="00642760" w:rsidRPr="00255E17">
        <w:rPr>
          <w:rFonts w:eastAsia="Times New Roman" w:cs="Calibri"/>
          <w:color w:val="000000" w:themeColor="text1"/>
          <w:sz w:val="24"/>
          <w:szCs w:val="24"/>
        </w:rPr>
        <w:t xml:space="preserve"> kabl</w:t>
      </w:r>
      <w:r w:rsidRPr="00255E17">
        <w:rPr>
          <w:rFonts w:eastAsia="Times New Roman" w:cs="Calibri"/>
          <w:color w:val="000000" w:themeColor="text1"/>
          <w:sz w:val="24"/>
          <w:szCs w:val="24"/>
        </w:rPr>
        <w:t>i</w:t>
      </w:r>
      <w:r w:rsidR="00642760" w:rsidRPr="00255E17">
        <w:rPr>
          <w:rFonts w:eastAsia="Times New Roman" w:cs="Calibri"/>
          <w:color w:val="000000" w:themeColor="text1"/>
          <w:sz w:val="24"/>
          <w:szCs w:val="24"/>
        </w:rPr>
        <w:t xml:space="preserve"> typu DAC 10Gb/s SFP+/SFP+ o długości co najmniej 3m. </w:t>
      </w:r>
    </w:p>
    <w:p w:rsidR="00642760" w:rsidRPr="00255E17" w:rsidRDefault="00642760" w:rsidP="00847744">
      <w:pPr>
        <w:numPr>
          <w:ilvl w:val="0"/>
          <w:numId w:val="7"/>
        </w:numPr>
        <w:spacing w:after="0" w:line="276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Dedykowany port do zarządzania poza pasmowego (Ethernet RJ-45) w pełni niezależny od portów liniowych.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Po wyposażeniu przełącznika w wymagane niezbędne porty powinny zostać minimum 2 wolne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sloty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umożliwiające dalszą rozbudowę do zadanej minimalnej liczby portów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wyposażony w redundantne, wewnętrzne zasilacze 230VAC wspierające standard 802.3at (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+) zapewniające minimum 500W dla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(bez redundancji mocy dla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) oraz zapewniające redundancję zasilania w trybie N+N (pełna redundancja). 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Przełącznik wyposażony w modularną wentylację (zapewniające redundancję wentylatory umieszczone na dedykowanym module). Przełącznik musi mieć możliwość wymiany modułu wentylatorów w trakcie pracy urządzenia.  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Przepustowość:  minimum 960Gb/s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Wydajność: minimum 320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Mp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/s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Tablica adresów MAC o wielkości minimum 64000 pozycji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Obsługa ramek Jumbo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Routing IPv4 – minimum: statyczny, RIPv2, OSPF, BGP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lastRenderedPageBreak/>
        <w:t xml:space="preserve">Routing IPv6 – minimum: statyczny,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RIPng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, OSPFv3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Routing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multicast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PIM-SM, PIM-DM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Mechanizmy redundancji bramy domyślnej - VRRP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Wielkość tablicy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rutingu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: minimum 10000 wpisów dla IPv4, 5000 wpisów dla IPv6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Wsparcie dla funkcji Policy-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based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routing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ruchu Multicast: IGMP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Snooping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; MLD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Snooping</w:t>
      </w:r>
      <w:proofErr w:type="spellEnd"/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VxLAN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: minimum 64 tunele VXLAN, obsługa minimum 64 VTEP/VSI. 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IEEE 802.1s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Multiple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SpanningTree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z nie mniej niż 64 instancje MSTP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IEEE 802.1w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Rapid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Spanning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Tree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. 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Obłsuga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RPVST+ z nie mniej niż 128 instancji PVST. 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4000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tagów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IEEE 802.1Q oraz minimum 4000 jednoczesnych sieci VLAN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Automatyczne wykrywanie przeplotu (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AutoMDIX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) na portach 100/1000BaseT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standardu IEEE 802.1v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VLANs</w:t>
      </w:r>
      <w:proofErr w:type="spellEnd"/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Funkcja Root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Guard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oraz BPDU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protection</w:t>
      </w:r>
      <w:proofErr w:type="spellEnd"/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Przełączniki tego samego typu muszą posiadać funkcję łączenia w stos (wirtualny przełącznik) złożony z minimum 2 urządzeń. Zarządzanie stosem musi odbywać się z  jednego adresu IP. Z punktu widzenia zarządzania przełączniki muszą tworzyć jedno logiczne urządzenie (nie dopuszcza się rozwiązań typu klaster). Dopuszcza się łączenie w stos za pomocą portów 10Gb SFP+ lub 40Gb/s QSFP+.</w:t>
      </w:r>
    </w:p>
    <w:p w:rsidR="00642760" w:rsidRPr="00255E17" w:rsidRDefault="00642760" w:rsidP="00847744">
      <w:pPr>
        <w:numPr>
          <w:ilvl w:val="0"/>
          <w:numId w:val="6"/>
        </w:numPr>
        <w:spacing w:after="20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łączy agregowanych zgodnie ze standardem 802.3ad Link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Aggregation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(LACP)</w:t>
      </w:r>
    </w:p>
    <w:p w:rsidR="00642760" w:rsidRPr="00255E17" w:rsidRDefault="00642760" w:rsidP="00847744">
      <w:pPr>
        <w:numPr>
          <w:ilvl w:val="0"/>
          <w:numId w:val="6"/>
        </w:numPr>
        <w:spacing w:after="20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Realizacja łączy agregowanych (LACP) do różnych przełączników będących w stosie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Wsparcie dla funkcji DHCP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server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, DHCP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Relay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oraz DHCP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Snooping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(wszystkie dla IPv4 i IPv6)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Obsługa list ACL na bazie informacji z warstw 2/3/4 modelu OSI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minimum 4000 Access list (ACL) dla IPv4. 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Obsługa standardu 802.1p – min. 8 kolejek na porcie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Klasyfikacja ruchu do klas różnej jakości obsługi (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QoS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) poprzez wykorzystanie następujących parametrów: źródłowy/docelowy adres IP, źródłowy/docelowy port TCP.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Priorytetyzacja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zgodna z 802.1p. Wbudowane mechanizmy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rate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limiting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Funkcja mirroringu portów na porty lokalne i zdalne (Remote i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Local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Mirroring)</w:t>
      </w:r>
    </w:p>
    <w:p w:rsidR="00642760" w:rsidRPr="00255E17" w:rsidRDefault="00642760" w:rsidP="00847744">
      <w:pPr>
        <w:numPr>
          <w:ilvl w:val="0"/>
          <w:numId w:val="6"/>
        </w:numPr>
        <w:spacing w:after="12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cs="Calibri"/>
          <w:color w:val="000000" w:themeColor="text1"/>
          <w:sz w:val="24"/>
          <w:szCs w:val="24"/>
        </w:rPr>
        <w:t xml:space="preserve">Obsługa IEEE 802.1AB Link </w:t>
      </w:r>
      <w:proofErr w:type="spellStart"/>
      <w:r w:rsidRPr="00255E17">
        <w:rPr>
          <w:rFonts w:cs="Calibri"/>
          <w:color w:val="000000" w:themeColor="text1"/>
          <w:sz w:val="24"/>
          <w:szCs w:val="24"/>
        </w:rPr>
        <w:t>Layer</w:t>
      </w:r>
      <w:proofErr w:type="spellEnd"/>
      <w:r w:rsidRPr="00255E17">
        <w:rPr>
          <w:rFonts w:cs="Calibri"/>
          <w:color w:val="000000" w:themeColor="text1"/>
          <w:sz w:val="24"/>
          <w:szCs w:val="24"/>
        </w:rPr>
        <w:t xml:space="preserve"> Discovery </w:t>
      </w:r>
      <w:proofErr w:type="spellStart"/>
      <w:r w:rsidRPr="00255E17">
        <w:rPr>
          <w:rFonts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cs="Calibri"/>
          <w:color w:val="000000" w:themeColor="text1"/>
          <w:sz w:val="24"/>
          <w:szCs w:val="24"/>
        </w:rPr>
        <w:t xml:space="preserve"> (LLDP) i LLDP Media </w:t>
      </w:r>
      <w:proofErr w:type="spellStart"/>
      <w:r w:rsidRPr="00255E17">
        <w:rPr>
          <w:rFonts w:cs="Calibri"/>
          <w:color w:val="000000" w:themeColor="text1"/>
          <w:sz w:val="24"/>
          <w:szCs w:val="24"/>
        </w:rPr>
        <w:t>Endpoint</w:t>
      </w:r>
      <w:proofErr w:type="spellEnd"/>
      <w:r w:rsidRPr="00255E17">
        <w:rPr>
          <w:rFonts w:cs="Calibri"/>
          <w:color w:val="000000" w:themeColor="text1"/>
          <w:sz w:val="24"/>
          <w:szCs w:val="24"/>
        </w:rPr>
        <w:t xml:space="preserve"> Discovery (LLDP-MED)</w:t>
      </w:r>
    </w:p>
    <w:p w:rsidR="00642760" w:rsidRPr="00255E17" w:rsidRDefault="00642760" w:rsidP="00847744">
      <w:pPr>
        <w:numPr>
          <w:ilvl w:val="0"/>
          <w:numId w:val="6"/>
        </w:numPr>
        <w:spacing w:after="12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Funkcja autoryzacji użytkowników na porcie w trybie web-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based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authentication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i MAC-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based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authentication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12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Funkcja autoryzacji użytkowników zgodna z 802.1x. Jednoczesna autentykacja na jednym porcie dla minimum 8 stacji końcowych. 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Funkcja autoryzacji logowania do urządzenia za pomocą serwerów RADIUS albo TACACS+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RADIUS Accounting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Wsparcie dla protokołu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OpenFlow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w wersji 1.0 oraz 1.3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OpenFlow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musi posiadać możliwość konfiguracji przetwarzania pakietów przez przełącznik w oparciu o ciąg tablic.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Musi być możliwe wielotablicowe przetwarzanie zapytań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OpenFlow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zawierająca następujące tablice do przetwarzania reguł sprzętowo w oparciu o: źródłowe i docelowe adresy MAC, źródłowy i docelowy adres IP oraz nr portu, numer portu wejściowego (pole IP DSCP oraz VLAN PCP)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lastRenderedPageBreak/>
        <w:t xml:space="preserve">Musi być możliwe przypisywanie więcej niż jednej akcji zadanemu wpisowi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OpenFlow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cs="Calibri"/>
          <w:color w:val="000000" w:themeColor="text1"/>
          <w:sz w:val="24"/>
          <w:szCs w:val="24"/>
        </w:rPr>
        <w:t>Wsparcie dla Energy-</w:t>
      </w:r>
      <w:proofErr w:type="spellStart"/>
      <w:r w:rsidRPr="00255E17">
        <w:rPr>
          <w:rFonts w:cs="Calibri"/>
          <w:color w:val="000000" w:themeColor="text1"/>
          <w:sz w:val="24"/>
          <w:szCs w:val="24"/>
        </w:rPr>
        <w:t>efficient</w:t>
      </w:r>
      <w:proofErr w:type="spellEnd"/>
      <w:r w:rsidRPr="00255E17">
        <w:rPr>
          <w:rFonts w:cs="Calibri"/>
          <w:color w:val="000000" w:themeColor="text1"/>
          <w:sz w:val="24"/>
          <w:szCs w:val="24"/>
        </w:rPr>
        <w:t xml:space="preserve"> Ethernet (EEE) IEEE 802.3az.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Zarządzanie poprzez port konsoli (pełne). Wbudowane porty konsoli RJ45 i USB.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Zarządzanie przez protokół SNMP wersje:1, 2c i 3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Zarządzanie przy pomocy następujących protokołów: Telnet, SSH v.2, http i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https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Raportowanie zdarzeń przy pomocy mechanizmów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Syslog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i SNMP Trap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Wsparcie dla protokołu dystrybucji czasu: SNTPv4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musi mieć możliwość przechowywania co najmniej dwóch wersji oprogramowania na przełączniku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musi mieć możliwość przechowywania co najmniej dwóch wersji plików konfiguracyjnych na przełączniku, możliwość wgrywania i zgrywania pliku konfiguracyjnego w postaci tekstowej do stacji roboczej.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Wsparcie dla funkcji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Private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VLAN lub równoważnego.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mechanizmu wykrywania łączy jednokierunkowych typu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Uni-Directional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Link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Detection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(UDLD), Device Link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Detection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(DLDP) lub równoważnego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oraz RMON (minimum grupy 1,2,3 i 9)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Secure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FTP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ochrony procesora 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standardu 802.1AE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MACsec</w:t>
      </w:r>
      <w:proofErr w:type="spellEnd"/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Minimalny zakres pracy od 0°C do 40°C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Wysokość w szafie 19” – 7U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Głębokość do 50 cm.</w:t>
      </w:r>
    </w:p>
    <w:p w:rsidR="00B31EB4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Dożywotnia gwarancja producenta obejmująca wszystkie elementy przełącznika (również zasilacze i wentylatory) zapewniająca wysyłkę sprawnego sprzętu na podmianę na następny dzień roboczy </w:t>
      </w:r>
      <w:r w:rsidR="00B31EB4" w:rsidRPr="00255E17">
        <w:rPr>
          <w:rFonts w:eastAsia="Times New Roman" w:cs="Calibri"/>
          <w:color w:val="000000" w:themeColor="text1"/>
          <w:sz w:val="24"/>
          <w:szCs w:val="24"/>
        </w:rPr>
        <w:t>po zgłoszeniu awarii (AHR NBD).</w:t>
      </w:r>
    </w:p>
    <w:p w:rsidR="00B31EB4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Gwarancja musi zapewniać również dostęp do poprawek oprogramowania urządze</w:t>
      </w:r>
      <w:r w:rsidR="00B31EB4" w:rsidRPr="00255E17">
        <w:rPr>
          <w:rFonts w:eastAsia="Times New Roman" w:cs="Calibri"/>
          <w:color w:val="000000" w:themeColor="text1"/>
          <w:sz w:val="24"/>
          <w:szCs w:val="24"/>
        </w:rPr>
        <w:t>nia oraz wsparcia technicznego.</w:t>
      </w:r>
    </w:p>
    <w:p w:rsidR="00B31EB4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Wymagane jest zapewnienie wsparcia telefonicznego w trybie 8x5 prze</w:t>
      </w:r>
      <w:r w:rsidR="00B31EB4" w:rsidRPr="00255E17">
        <w:rPr>
          <w:rFonts w:eastAsia="Times New Roman" w:cs="Calibri"/>
          <w:color w:val="000000" w:themeColor="text1"/>
          <w:sz w:val="24"/>
          <w:szCs w:val="24"/>
        </w:rPr>
        <w:t>z cały okres trwania gwarancji.</w:t>
      </w:r>
    </w:p>
    <w:p w:rsidR="00B31EB4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Całość świadczeń gwarancyjnych musi być realizowana bezpośr</w:t>
      </w:r>
      <w:r w:rsidR="00B31EB4" w:rsidRPr="00255E17">
        <w:rPr>
          <w:rFonts w:eastAsia="Times New Roman" w:cs="Calibri"/>
          <w:color w:val="000000" w:themeColor="text1"/>
          <w:sz w:val="24"/>
          <w:szCs w:val="24"/>
        </w:rPr>
        <w:t>ednio przez producenta sprzętu.</w:t>
      </w:r>
    </w:p>
    <w:p w:rsidR="00B31EB4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Zamawiający musi mieć bezpośredni dostęp do wsparcia technicznego producenta.</w:t>
      </w:r>
    </w:p>
    <w:p w:rsidR="003E0ECB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Wymagane wkładki optyczne i kable muszą pochodzić od producenta urządzenia i być objęte jego gwarancją.</w:t>
      </w:r>
    </w:p>
    <w:p w:rsidR="00B31EB4" w:rsidRPr="00255E17" w:rsidRDefault="00B31EB4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</w:p>
    <w:p w:rsidR="00817C6B" w:rsidRPr="00255E17" w:rsidRDefault="00642760" w:rsidP="00A22460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UPS</w:t>
      </w:r>
      <w:r w:rsidR="00A77822" w:rsidRPr="00255E1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17C6B" w:rsidRPr="00255E1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5180"/>
      </w:tblGrid>
      <w:tr w:rsidR="00255E17" w:rsidRPr="00255E17" w:rsidTr="0027069A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WYMAGANIA MINIMALNE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Moc wyjściowa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10kVA/9kW</w:t>
            </w:r>
          </w:p>
        </w:tc>
      </w:tr>
      <w:tr w:rsidR="00255E17" w:rsidRPr="00255E17" w:rsidTr="0027069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Topologia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VFI-SS-111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Sprawność całkowita dla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Pmax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(dla VFI)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&lt;93%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Sprawność całkowita dla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Pmax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(dla ECO)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&gt;97%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Chłodzenie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wymuszone, wewnętrzne wentylatory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Temperatura przechowywania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0 ÷ +40 °C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Temperatura pracy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0 ÷ +40 °C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lastRenderedPageBreak/>
              <w:t>Stopień ochrony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IP20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PROSTOWNIK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Zakres napięcia wejściowego dla konfiguracji fazowej 3/1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305 ÷ 461 V AC ± 3%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Zakres częstotliwości wejściowej oraz tolerancja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45 ÷ 55 / 54 ÷ 66 ±1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Hz</w:t>
            </w:r>
            <w:proofErr w:type="spellEnd"/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Prąd znamionowy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15A</w:t>
            </w:r>
          </w:p>
        </w:tc>
      </w:tr>
      <w:tr w:rsidR="00255E17" w:rsidRPr="00255E17" w:rsidTr="0027069A">
        <w:trPr>
          <w:trHeight w:val="69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Współczynnik mocy PF (bez zewnętrznych układów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kompensujacych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, realizowane za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pomoca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układu prostownika)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&gt; 0,99</w:t>
            </w:r>
          </w:p>
        </w:tc>
      </w:tr>
      <w:tr w:rsidR="00255E17" w:rsidRPr="00255E17" w:rsidTr="0027069A">
        <w:trPr>
          <w:trHeight w:val="69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Zniekształcenia prądu wejściowego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THDi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(bez zewnętrznych układów filtrujących, realizowane za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pomoca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układu prostownika)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&lt; 5%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FALOWNIK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Znamionowe napięcie wyjściowe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200 V AC / 208 V AC / 220 V AC / 230 V AC / 240 V AC ± 1 %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Wartość napięcia wyjściowego ustawiana z panelu LCD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wymagane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Zakres częstotliwości wyjściowej oraz tolerancja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50 / 60 ± 0,5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Hz</w:t>
            </w:r>
            <w:proofErr w:type="spellEnd"/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Regulacja statyczna napięcia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± 1%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Zniekształcenia napięcia wyjściowego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THDu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&lt; 2 % dla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Pmax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(liniowe)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&lt; 5 % (nieliniowe wg PN EN 62040-3 )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Współczynnik szczytu CF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3:1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Czas przełączenia na pracę rezerwową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0 ms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Przeciążalność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minimum '130%-150% - 10sek / 110%-130% - 1min / 100%-110% - 5min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55E17" w:rsidRPr="00255E17" w:rsidTr="0027069A">
        <w:trPr>
          <w:trHeight w:val="46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Czas pracy z baterii (przy wykorzystaniu akumulatorów wew. UPS lub w UPS oraz w Zewnętrznym Module Bateryjnym)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minimum 40 minut dla obciążenia 3200W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Akumulatory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akumulatory o projektowanej żywotności minimum 6-9 lat</w:t>
            </w:r>
          </w:p>
        </w:tc>
      </w:tr>
      <w:tr w:rsidR="00255E17" w:rsidRPr="00255E17" w:rsidTr="0027069A">
        <w:trPr>
          <w:trHeight w:val="684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możliwość zamontowania minimum 20szt akumulatorów 9Ah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wewnętrz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UPS oraz opcjonalnie minimum 20szt akumulatorów 9Ah w zewnętrznym module bateryjnym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Sygnalizacja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akustyczno-diodowa, wyświetlacz LCD z menu w języku polskim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Przyłącza wyjściowe (liczba i typ gniazd)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zaciski śrubowe M6 oraz minimum 2 gniazda IEC320 C13 (10A)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Interfejs komunikacyjny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RS232, USB, SNMP/HTTP, złącze komunikacji do pracy równoległej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EPO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wymagane / standard NC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Język oprogramowania i menu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polski</w:t>
            </w:r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Oprogramowanie monitorująco-zarządzające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oprogramamowanie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w języku polskim do zarządzania i monitorowania pracy UPS .</w:t>
            </w:r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wsparcie dla systemów Linux, Windows oraz wirtualizacji Hyper-V, Vmware,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XenServer</w:t>
            </w:r>
            <w:proofErr w:type="spellEnd"/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wymagane jedno, wspólne oprogramowanie do zarządzania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UPSami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1-fazowymi i 3-fazowymi</w:t>
            </w:r>
          </w:p>
        </w:tc>
      </w:tr>
      <w:tr w:rsidR="00255E17" w:rsidRPr="00255E17" w:rsidTr="0027069A">
        <w:trPr>
          <w:trHeight w:val="444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możliwość edycji nazw urządzeń na liście monitorowanych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UPSów</w:t>
            </w:r>
            <w:proofErr w:type="spellEnd"/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wymagane wsparcie producenta (telefoniczne oraz mailowe) w języku polskim odnośnie konfiguracji i rozwiązywania problemów. 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PARAMETRY MECHANICZNE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Wymiary zasilacza UPS (wys. X szer. X gł.)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nie większe niż 709 x 261 x 551 mm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Masa zasilacza UPS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nie większa niż 90 kg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Wymiary Moduł Bateryjny (wys. X szer. X gł.)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nie większe niż 796 x 341 x 741 mm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Masa Moduł Bateryjny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nie większa niż 110 kg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GWARANCJA / SERWIS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bookmarkStart w:id="0" w:name="_GoBack" w:colFirst="2" w:colLast="2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min. 2 lata na elektronikę i rok na akumulatory</w:t>
            </w:r>
          </w:p>
        </w:tc>
      </w:tr>
      <w:bookmarkEnd w:id="0"/>
      <w:tr w:rsidR="00255E17" w:rsidRPr="00255E17" w:rsidTr="0027069A">
        <w:trPr>
          <w:trHeight w:val="288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Serwis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serwis on-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site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- usługa realizowana w siedzibie Klienta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autoryzowany serwis producenta zlokalizowany w Polsce. 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Czas naprawy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max. 14 dni roboczych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Praca równoległa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możliwość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parcy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równoległej do 4 jednostek</w:t>
            </w:r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Certyfikaty / oświadczenia producenta sprzętu (załączyć do oferty)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ISO 9001:2015 dla producenta sprzętu obejmujący proces projektowania, produkcji i serwisu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karta katalogowa oferowanego sprzętu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deklaracja CE wystawiona w oparciu o obowiązujące normy (LVD, EMC)</w:t>
            </w:r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gwarancja musi być realizowana wyłącznie przez serwis producenta - należy przedstawić odpowiednie oświadczenie producenta</w:t>
            </w:r>
          </w:p>
        </w:tc>
      </w:tr>
      <w:tr w:rsidR="0027069A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sprzęt i oprogramowanie będzie pochodzić z autoryzowanego kanału sprzedaży </w:t>
            </w:r>
          </w:p>
        </w:tc>
      </w:tr>
    </w:tbl>
    <w:p w:rsidR="00817C6B" w:rsidRPr="00255E17" w:rsidRDefault="00817C6B" w:rsidP="00847744">
      <w:pPr>
        <w:rPr>
          <w:b/>
          <w:color w:val="000000" w:themeColor="text1"/>
        </w:rPr>
      </w:pPr>
    </w:p>
    <w:sectPr w:rsidR="00817C6B" w:rsidRPr="00255E17" w:rsidSect="00585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B1" w:rsidRDefault="00CB7AB1" w:rsidP="000E3033">
      <w:pPr>
        <w:spacing w:after="0" w:line="240" w:lineRule="auto"/>
      </w:pPr>
      <w:r>
        <w:separator/>
      </w:r>
    </w:p>
  </w:endnote>
  <w:endnote w:type="continuationSeparator" w:id="0">
    <w:p w:rsidR="00CB7AB1" w:rsidRDefault="00CB7AB1" w:rsidP="000E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136861"/>
      <w:docPartObj>
        <w:docPartGallery w:val="Page Numbers (Bottom of Page)"/>
        <w:docPartUnique/>
      </w:docPartObj>
    </w:sdtPr>
    <w:sdtEndPr/>
    <w:sdtContent>
      <w:p w:rsidR="001A2C95" w:rsidRDefault="001A2C95" w:rsidP="004636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C2">
          <w:rPr>
            <w:noProof/>
          </w:rPr>
          <w:t>18</w:t>
        </w:r>
        <w:r>
          <w:fldChar w:fldCharType="end"/>
        </w:r>
        <w:r w:rsidR="00CA79C2">
          <w:t>/19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66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C95" w:rsidRDefault="001A2C95">
        <w:pPr>
          <w:pStyle w:val="Stopka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79C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/18</w:t>
        </w:r>
      </w:p>
    </w:sdtContent>
  </w:sdt>
  <w:p w:rsidR="001A2C95" w:rsidRDefault="001A2C95" w:rsidP="005852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B1" w:rsidRDefault="00CB7AB1" w:rsidP="000E3033">
      <w:pPr>
        <w:spacing w:after="0" w:line="240" w:lineRule="auto"/>
      </w:pPr>
      <w:r>
        <w:separator/>
      </w:r>
    </w:p>
  </w:footnote>
  <w:footnote w:type="continuationSeparator" w:id="0">
    <w:p w:rsidR="00CB7AB1" w:rsidRDefault="00CB7AB1" w:rsidP="000E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95" w:rsidRDefault="001A2C95" w:rsidP="000E303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95" w:rsidRPr="000A58BC" w:rsidRDefault="001A2C95" w:rsidP="00585244">
    <w:pPr>
      <w:pStyle w:val="Nagwek"/>
      <w:pageBreakBefore/>
      <w:tabs>
        <w:tab w:val="center" w:pos="11659"/>
        <w:tab w:val="right" w:pos="16478"/>
      </w:tabs>
      <w:ind w:left="5670"/>
      <w:jc w:val="center"/>
      <w:rPr>
        <w:rFonts w:ascii="Times New Roman" w:hAnsi="Times New Roman" w:cs="Times New Roman"/>
        <w:b/>
      </w:rPr>
    </w:pPr>
    <w:r w:rsidRPr="000A58BC">
      <w:rPr>
        <w:rFonts w:ascii="Times New Roman" w:hAnsi="Times New Roman" w:cs="Times New Roman"/>
        <w:b/>
      </w:rPr>
      <w:t xml:space="preserve">Załącznik </w:t>
    </w:r>
    <w:r>
      <w:rPr>
        <w:rFonts w:ascii="Times New Roman" w:hAnsi="Times New Roman" w:cs="Times New Roman"/>
        <w:b/>
      </w:rPr>
      <w:t>nr 4</w:t>
    </w:r>
  </w:p>
  <w:p w:rsidR="001A2C95" w:rsidRPr="000A58BC" w:rsidRDefault="001A2C95" w:rsidP="00585244">
    <w:pPr>
      <w:pStyle w:val="Nagwek"/>
      <w:tabs>
        <w:tab w:val="center" w:pos="11659"/>
        <w:tab w:val="right" w:pos="16478"/>
      </w:tabs>
      <w:ind w:left="5670"/>
      <w:jc w:val="center"/>
      <w:rPr>
        <w:rFonts w:ascii="Times New Roman" w:hAnsi="Times New Roman" w:cs="Times New Roman"/>
      </w:rPr>
    </w:pPr>
    <w:r w:rsidRPr="000A58BC">
      <w:rPr>
        <w:rFonts w:ascii="Times New Roman" w:hAnsi="Times New Roman" w:cs="Times New Roman"/>
        <w:b/>
      </w:rPr>
      <w:t>Komisji Przetargowej</w:t>
    </w:r>
  </w:p>
  <w:p w:rsidR="001A2C95" w:rsidRPr="000A58BC" w:rsidRDefault="001A2C95" w:rsidP="00585244">
    <w:pPr>
      <w:pStyle w:val="Nagwek"/>
      <w:tabs>
        <w:tab w:val="center" w:pos="11659"/>
        <w:tab w:val="right" w:pos="16478"/>
      </w:tabs>
      <w:ind w:left="567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</w:rPr>
      <w:t>Serwery i macierze</w:t>
    </w:r>
  </w:p>
  <w:p w:rsidR="001A2C95" w:rsidRDefault="001A2C95" w:rsidP="005852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5AFD"/>
    <w:multiLevelType w:val="hybridMultilevel"/>
    <w:tmpl w:val="A8D0D848"/>
    <w:name w:val="Numbered list 2"/>
    <w:lvl w:ilvl="0" w:tplc="E73CA5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68AF6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C44D6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40D5D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CCED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CAE6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AC03A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36851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2BAA56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3DCC7E1A"/>
    <w:multiLevelType w:val="multilevel"/>
    <w:tmpl w:val="E49608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3804B7E"/>
    <w:multiLevelType w:val="hybridMultilevel"/>
    <w:tmpl w:val="ACF4916E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B">
      <w:start w:val="1"/>
      <w:numFmt w:val="lowerRoman"/>
      <w:lvlText w:val="%2."/>
      <w:lvlJc w:val="right"/>
      <w:pPr>
        <w:ind w:left="1788" w:hanging="360"/>
      </w:pPr>
    </w:lvl>
    <w:lvl w:ilvl="2" w:tplc="950A30C8">
      <w:start w:val="5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DA391A"/>
    <w:multiLevelType w:val="hybridMultilevel"/>
    <w:tmpl w:val="98AA2ED2"/>
    <w:name w:val="Numbered list 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03E"/>
    <w:multiLevelType w:val="hybridMultilevel"/>
    <w:tmpl w:val="93FCCCF6"/>
    <w:name w:val="Numbered list 17"/>
    <w:lvl w:ilvl="0" w:tplc="A062657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0EC4D0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4AAFE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9C6B8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E649DB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4CBE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2582E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8253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62A5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76916632"/>
    <w:multiLevelType w:val="hybridMultilevel"/>
    <w:tmpl w:val="976A228C"/>
    <w:name w:val="Numbered list 13"/>
    <w:lvl w:ilvl="0" w:tplc="A2A4EAA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6E4A4F2">
      <w:numFmt w:val="bullet"/>
      <w:lvlText w:val="-"/>
      <w:lvlJc w:val="left"/>
      <w:pPr>
        <w:ind w:left="1080" w:firstLine="0"/>
      </w:pPr>
      <w:rPr>
        <w:rFonts w:ascii="Calibri" w:eastAsia="Calibri" w:hAnsi="Calibri" w:cs="Calibri"/>
      </w:rPr>
    </w:lvl>
    <w:lvl w:ilvl="2" w:tplc="4B4ADA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A0A1D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3ECD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983D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CACAF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1448D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9362B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7A4D267F"/>
    <w:multiLevelType w:val="hybridMultilevel"/>
    <w:tmpl w:val="1974B524"/>
    <w:name w:val="Numbered list 3"/>
    <w:lvl w:ilvl="0" w:tplc="C8F85974">
      <w:start w:val="1"/>
      <w:numFmt w:val="decimal"/>
      <w:lvlText w:val="%1."/>
      <w:lvlJc w:val="left"/>
      <w:pPr>
        <w:ind w:left="360" w:firstLine="0"/>
      </w:pPr>
      <w:rPr>
        <w:color w:val="auto"/>
      </w:rPr>
    </w:lvl>
    <w:lvl w:ilvl="1" w:tplc="50FA0344">
      <w:start w:val="1"/>
      <w:numFmt w:val="lowerLetter"/>
      <w:lvlText w:val="%2."/>
      <w:lvlJc w:val="left"/>
      <w:pPr>
        <w:ind w:left="1080" w:firstLine="0"/>
      </w:pPr>
    </w:lvl>
    <w:lvl w:ilvl="2" w:tplc="B55C03C0">
      <w:start w:val="1"/>
      <w:numFmt w:val="lowerRoman"/>
      <w:lvlText w:val="%3."/>
      <w:lvlJc w:val="left"/>
      <w:pPr>
        <w:ind w:left="1980" w:firstLine="0"/>
      </w:pPr>
    </w:lvl>
    <w:lvl w:ilvl="3" w:tplc="16866FEE">
      <w:start w:val="1"/>
      <w:numFmt w:val="decimal"/>
      <w:lvlText w:val="%4."/>
      <w:lvlJc w:val="left"/>
      <w:pPr>
        <w:ind w:left="2520" w:firstLine="0"/>
      </w:pPr>
    </w:lvl>
    <w:lvl w:ilvl="4" w:tplc="649C2ECE">
      <w:start w:val="1"/>
      <w:numFmt w:val="lowerLetter"/>
      <w:lvlText w:val="%5."/>
      <w:lvlJc w:val="left"/>
      <w:pPr>
        <w:ind w:left="3240" w:firstLine="0"/>
      </w:pPr>
    </w:lvl>
    <w:lvl w:ilvl="5" w:tplc="EB7CA02A">
      <w:start w:val="1"/>
      <w:numFmt w:val="lowerRoman"/>
      <w:lvlText w:val="%6."/>
      <w:lvlJc w:val="left"/>
      <w:pPr>
        <w:ind w:left="4140" w:firstLine="0"/>
      </w:pPr>
    </w:lvl>
    <w:lvl w:ilvl="6" w:tplc="FE4C2D56">
      <w:start w:val="1"/>
      <w:numFmt w:val="decimal"/>
      <w:lvlText w:val="%7."/>
      <w:lvlJc w:val="left"/>
      <w:pPr>
        <w:ind w:left="4680" w:firstLine="0"/>
      </w:pPr>
    </w:lvl>
    <w:lvl w:ilvl="7" w:tplc="B96632C6">
      <w:start w:val="1"/>
      <w:numFmt w:val="lowerLetter"/>
      <w:lvlText w:val="%8."/>
      <w:lvlJc w:val="left"/>
      <w:pPr>
        <w:ind w:left="5400" w:firstLine="0"/>
      </w:pPr>
    </w:lvl>
    <w:lvl w:ilvl="8" w:tplc="4C409664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7D5B5C81"/>
    <w:multiLevelType w:val="hybridMultilevel"/>
    <w:tmpl w:val="0652EE8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FA"/>
    <w:rsid w:val="00097E36"/>
    <w:rsid w:val="000E3033"/>
    <w:rsid w:val="001A2C95"/>
    <w:rsid w:val="001B069B"/>
    <w:rsid w:val="001E7EE5"/>
    <w:rsid w:val="00241F73"/>
    <w:rsid w:val="00255E17"/>
    <w:rsid w:val="0027069A"/>
    <w:rsid w:val="002B7372"/>
    <w:rsid w:val="00333404"/>
    <w:rsid w:val="00360542"/>
    <w:rsid w:val="003E0ECB"/>
    <w:rsid w:val="004636BA"/>
    <w:rsid w:val="00482C20"/>
    <w:rsid w:val="00534C19"/>
    <w:rsid w:val="00585244"/>
    <w:rsid w:val="005C43D8"/>
    <w:rsid w:val="00630C2D"/>
    <w:rsid w:val="00642760"/>
    <w:rsid w:val="007961FA"/>
    <w:rsid w:val="00817C6B"/>
    <w:rsid w:val="008435E1"/>
    <w:rsid w:val="00847744"/>
    <w:rsid w:val="00967E22"/>
    <w:rsid w:val="0097313F"/>
    <w:rsid w:val="00A22460"/>
    <w:rsid w:val="00A36694"/>
    <w:rsid w:val="00A77822"/>
    <w:rsid w:val="00AB2050"/>
    <w:rsid w:val="00AD6FA1"/>
    <w:rsid w:val="00AF4DCE"/>
    <w:rsid w:val="00B31EB4"/>
    <w:rsid w:val="00CA79C2"/>
    <w:rsid w:val="00CB7AB1"/>
    <w:rsid w:val="00D15BE6"/>
    <w:rsid w:val="00D515B0"/>
    <w:rsid w:val="00D5600F"/>
    <w:rsid w:val="00D75DA9"/>
    <w:rsid w:val="00DB5080"/>
    <w:rsid w:val="00E338AB"/>
    <w:rsid w:val="00EB5E7C"/>
    <w:rsid w:val="00ED0FDD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D1DD9-8FA4-4876-862C-684813FB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1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033"/>
  </w:style>
  <w:style w:type="paragraph" w:styleId="Stopka">
    <w:name w:val="footer"/>
    <w:basedOn w:val="Normalny"/>
    <w:link w:val="StopkaZnak"/>
    <w:uiPriority w:val="99"/>
    <w:unhideWhenUsed/>
    <w:rsid w:val="000E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5792</Words>
  <Characters>34757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User</cp:lastModifiedBy>
  <cp:revision>3</cp:revision>
  <dcterms:created xsi:type="dcterms:W3CDTF">2018-10-16T06:55:00Z</dcterms:created>
  <dcterms:modified xsi:type="dcterms:W3CDTF">2018-10-16T07:02:00Z</dcterms:modified>
</cp:coreProperties>
</file>